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EA308" w14:textId="77777777" w:rsidR="00C47A86" w:rsidRPr="0034558D" w:rsidRDefault="00C47A86" w:rsidP="00C47A86">
      <w:pPr>
        <w:ind w:firstLine="0"/>
        <w:jc w:val="left"/>
        <w:rPr>
          <w:sz w:val="24"/>
          <w:szCs w:val="24"/>
        </w:rPr>
      </w:pPr>
      <w:r w:rsidRPr="0034558D">
        <w:rPr>
          <w:sz w:val="24"/>
          <w:szCs w:val="24"/>
        </w:rPr>
        <w:t>Kupiškio rajono savivaldybės tarybai</w:t>
      </w:r>
    </w:p>
    <w:p w14:paraId="658E9013" w14:textId="77777777" w:rsidR="00C47A86" w:rsidRPr="0034558D" w:rsidRDefault="00C47A86" w:rsidP="00C47A86">
      <w:pPr>
        <w:ind w:firstLine="0"/>
        <w:jc w:val="left"/>
        <w:rPr>
          <w:sz w:val="24"/>
          <w:szCs w:val="24"/>
        </w:rPr>
      </w:pPr>
    </w:p>
    <w:p w14:paraId="7D5BBB55" w14:textId="77777777" w:rsidR="00934173" w:rsidRPr="0034558D" w:rsidRDefault="00C47A86" w:rsidP="00934173">
      <w:pPr>
        <w:keepNext/>
        <w:jc w:val="center"/>
        <w:rPr>
          <w:b/>
          <w:bCs/>
          <w:sz w:val="24"/>
          <w:szCs w:val="24"/>
        </w:rPr>
      </w:pPr>
      <w:r w:rsidRPr="0034558D">
        <w:rPr>
          <w:b/>
          <w:bCs/>
          <w:sz w:val="24"/>
          <w:szCs w:val="24"/>
        </w:rPr>
        <w:t xml:space="preserve">KUPIŠKIO RAJONO SAVIVALDYBĖS TARYBOS SPRENDIMO </w:t>
      </w:r>
    </w:p>
    <w:p w14:paraId="28E387A3" w14:textId="6C3379DE" w:rsidR="00817509" w:rsidRDefault="0034558D" w:rsidP="00817509">
      <w:pPr>
        <w:jc w:val="center"/>
        <w:rPr>
          <w:b/>
          <w:sz w:val="24"/>
          <w:szCs w:val="24"/>
        </w:rPr>
      </w:pPr>
      <w:r w:rsidRPr="0034558D">
        <w:rPr>
          <w:b/>
          <w:sz w:val="24"/>
          <w:szCs w:val="24"/>
        </w:rPr>
        <w:t>„</w:t>
      </w:r>
      <w:r w:rsidR="009503F5" w:rsidRPr="009503F5">
        <w:rPr>
          <w:b/>
          <w:bCs/>
        </w:rPr>
        <w:t>DĖL KUPIŠKIO RAJONO SAVIVALDYBĖS 202</w:t>
      </w:r>
      <w:r w:rsidR="00CF1066">
        <w:rPr>
          <w:b/>
          <w:bCs/>
        </w:rPr>
        <w:t>3</w:t>
      </w:r>
      <w:r w:rsidR="009503F5" w:rsidRPr="009503F5">
        <w:rPr>
          <w:b/>
          <w:bCs/>
        </w:rPr>
        <w:t xml:space="preserve"> METŲ BIUDŽETO PATVIRTINIMO</w:t>
      </w:r>
      <w:r w:rsidR="00817509" w:rsidRPr="009503F5">
        <w:rPr>
          <w:b/>
          <w:bCs/>
        </w:rPr>
        <w:t xml:space="preserve">“ </w:t>
      </w:r>
      <w:r w:rsidR="00C47A86" w:rsidRPr="0034558D">
        <w:rPr>
          <w:b/>
          <w:sz w:val="24"/>
          <w:szCs w:val="24"/>
        </w:rPr>
        <w:t>PROJEKTO</w:t>
      </w:r>
    </w:p>
    <w:p w14:paraId="293A1B9F" w14:textId="0ED55326" w:rsidR="00C47A86" w:rsidRPr="00817509" w:rsidRDefault="00C47A86" w:rsidP="00817509">
      <w:pPr>
        <w:jc w:val="center"/>
        <w:rPr>
          <w:b/>
        </w:rPr>
      </w:pPr>
      <w:r w:rsidRPr="0034558D">
        <w:rPr>
          <w:b/>
          <w:sz w:val="24"/>
          <w:szCs w:val="24"/>
        </w:rPr>
        <w:t xml:space="preserve"> AIŠKINAMASIS RAŠTAS</w:t>
      </w:r>
    </w:p>
    <w:p w14:paraId="354259C3" w14:textId="77777777" w:rsidR="00C47A86" w:rsidRPr="0034558D" w:rsidRDefault="00C47A86" w:rsidP="00C47A86">
      <w:pPr>
        <w:tabs>
          <w:tab w:val="left" w:pos="5542"/>
        </w:tabs>
        <w:ind w:firstLine="0"/>
        <w:jc w:val="left"/>
        <w:rPr>
          <w:sz w:val="24"/>
          <w:szCs w:val="24"/>
        </w:rPr>
      </w:pPr>
      <w:r w:rsidRPr="0034558D">
        <w:rPr>
          <w:sz w:val="24"/>
          <w:szCs w:val="24"/>
        </w:rPr>
        <w:tab/>
      </w:r>
    </w:p>
    <w:p w14:paraId="4D7A4DC1" w14:textId="4178AE6C" w:rsidR="00C47A86" w:rsidRPr="0034558D" w:rsidRDefault="00934173" w:rsidP="00063564">
      <w:pPr>
        <w:ind w:firstLine="0"/>
        <w:jc w:val="center"/>
        <w:rPr>
          <w:sz w:val="24"/>
          <w:szCs w:val="24"/>
        </w:rPr>
      </w:pPr>
      <w:r w:rsidRPr="0034558D">
        <w:rPr>
          <w:sz w:val="24"/>
          <w:szCs w:val="24"/>
        </w:rPr>
        <w:t>202</w:t>
      </w:r>
      <w:r w:rsidR="00CF1066">
        <w:rPr>
          <w:sz w:val="24"/>
          <w:szCs w:val="24"/>
        </w:rPr>
        <w:t>3</w:t>
      </w:r>
      <w:r w:rsidR="00CA17DA">
        <w:rPr>
          <w:sz w:val="24"/>
          <w:szCs w:val="24"/>
        </w:rPr>
        <w:t xml:space="preserve"> m. </w:t>
      </w:r>
      <w:r w:rsidR="00CF1066">
        <w:rPr>
          <w:sz w:val="24"/>
          <w:szCs w:val="24"/>
        </w:rPr>
        <w:t xml:space="preserve">sausio 16 d. </w:t>
      </w:r>
    </w:p>
    <w:p w14:paraId="6805BCA1" w14:textId="1F08B188" w:rsidR="00C47A86" w:rsidRPr="0034558D" w:rsidRDefault="0034558D" w:rsidP="00063564">
      <w:pPr>
        <w:pStyle w:val="Antrats"/>
        <w:tabs>
          <w:tab w:val="clear" w:pos="4153"/>
          <w:tab w:val="clear" w:pos="8306"/>
          <w:tab w:val="left" w:pos="4620"/>
        </w:tabs>
        <w:ind w:firstLine="0"/>
        <w:jc w:val="center"/>
        <w:rPr>
          <w:iCs/>
          <w:sz w:val="24"/>
          <w:szCs w:val="24"/>
        </w:rPr>
      </w:pPr>
      <w:r w:rsidRPr="0034558D">
        <w:rPr>
          <w:iCs/>
          <w:sz w:val="24"/>
          <w:szCs w:val="24"/>
        </w:rPr>
        <w:t xml:space="preserve"> </w:t>
      </w:r>
      <w:r w:rsidR="00934173" w:rsidRPr="0034558D">
        <w:rPr>
          <w:iCs/>
          <w:sz w:val="24"/>
          <w:szCs w:val="24"/>
        </w:rPr>
        <w:t>Kupiškis</w:t>
      </w:r>
    </w:p>
    <w:p w14:paraId="3F224C52" w14:textId="77777777" w:rsidR="00C47A86" w:rsidRPr="0034558D" w:rsidRDefault="00C47A86" w:rsidP="00C47A86">
      <w:pPr>
        <w:pStyle w:val="Antrats"/>
        <w:tabs>
          <w:tab w:val="clear" w:pos="4153"/>
          <w:tab w:val="left" w:pos="6096"/>
          <w:tab w:val="center" w:pos="7655"/>
        </w:tabs>
        <w:ind w:firstLine="851"/>
        <w:rPr>
          <w:sz w:val="24"/>
          <w:szCs w:val="24"/>
        </w:rPr>
      </w:pPr>
    </w:p>
    <w:p w14:paraId="5B70DA91" w14:textId="21A24793" w:rsidR="003B7295" w:rsidRPr="003B7295" w:rsidRDefault="00C47A86" w:rsidP="003B7295">
      <w:pPr>
        <w:spacing w:line="360" w:lineRule="auto"/>
        <w:ind w:firstLine="992"/>
        <w:rPr>
          <w:sz w:val="24"/>
          <w:szCs w:val="24"/>
        </w:rPr>
      </w:pPr>
      <w:r w:rsidRPr="006C663E">
        <w:rPr>
          <w:b/>
          <w:bCs/>
          <w:color w:val="000000"/>
          <w:sz w:val="24"/>
          <w:szCs w:val="24"/>
          <w:shd w:val="clear" w:color="auto" w:fill="FFFFFF"/>
        </w:rPr>
        <w:t>Sprendimo projekto tikslas ir uždaviniai:</w:t>
      </w:r>
      <w:r w:rsidR="00934173" w:rsidRPr="006C663E">
        <w:rPr>
          <w:b/>
          <w:bCs/>
          <w:color w:val="000000"/>
          <w:sz w:val="24"/>
          <w:szCs w:val="24"/>
          <w:shd w:val="clear" w:color="auto" w:fill="FFFFFF"/>
        </w:rPr>
        <w:t xml:space="preserve"> </w:t>
      </w:r>
      <w:r w:rsidR="003B7295" w:rsidRPr="003B7295">
        <w:rPr>
          <w:sz w:val="24"/>
          <w:szCs w:val="24"/>
        </w:rPr>
        <w:t>Parengtas sprendimo projektas dėl</w:t>
      </w:r>
      <w:r w:rsidR="003B7295" w:rsidRPr="003B7295">
        <w:rPr>
          <w:b/>
          <w:bCs/>
          <w:sz w:val="24"/>
          <w:szCs w:val="24"/>
        </w:rPr>
        <w:t xml:space="preserve"> </w:t>
      </w:r>
      <w:r w:rsidR="003B7295" w:rsidRPr="003B7295">
        <w:rPr>
          <w:sz w:val="24"/>
          <w:szCs w:val="24"/>
        </w:rPr>
        <w:t>Kupiškio rajono savivaldybės</w:t>
      </w:r>
      <w:r w:rsidR="00EB03DB">
        <w:rPr>
          <w:sz w:val="24"/>
          <w:szCs w:val="24"/>
        </w:rPr>
        <w:t xml:space="preserve"> </w:t>
      </w:r>
      <w:r w:rsidR="003B7295" w:rsidRPr="003B7295">
        <w:rPr>
          <w:sz w:val="24"/>
          <w:szCs w:val="24"/>
        </w:rPr>
        <w:t>202</w:t>
      </w:r>
      <w:r w:rsidR="006F0649">
        <w:rPr>
          <w:sz w:val="24"/>
          <w:szCs w:val="24"/>
        </w:rPr>
        <w:t>3</w:t>
      </w:r>
      <w:r w:rsidR="003B7295" w:rsidRPr="003B7295">
        <w:rPr>
          <w:sz w:val="24"/>
          <w:szCs w:val="24"/>
        </w:rPr>
        <w:t xml:space="preserve"> metų biudžeto patvirtinimo. Vadovaudamasi Lietuvos Respublikos biudžeto sandaros įstatymo 26 straipsnio 5 dalimi, Savivaldybės taryba biudžetą patvirtina per du mėnesius nuo valstybės biudžeto ir savivaldybių biudžetų finansinių rodiklių patvirtinimo. Jeigu biudžetas laiku nepatvirtinamas, asignavimai metų pradžioje iki biudžeto patvirtinimo kiekvieną mėnesį negali viršyti 1/12 praėjusių metų biudžeto asignavimų. </w:t>
      </w:r>
    </w:p>
    <w:p w14:paraId="1693935E" w14:textId="66983EFD" w:rsidR="0034558D" w:rsidRPr="005E52A6" w:rsidRDefault="00C47A86" w:rsidP="00377534">
      <w:pPr>
        <w:pStyle w:val="Antrats"/>
        <w:tabs>
          <w:tab w:val="clear" w:pos="4153"/>
          <w:tab w:val="left" w:pos="6096"/>
          <w:tab w:val="center" w:pos="7655"/>
        </w:tabs>
        <w:spacing w:line="360" w:lineRule="auto"/>
        <w:ind w:firstLine="1247"/>
        <w:rPr>
          <w:sz w:val="24"/>
          <w:szCs w:val="24"/>
          <w:lang w:eastAsia="lt-LT"/>
        </w:rPr>
      </w:pPr>
      <w:r w:rsidRPr="006C663E">
        <w:rPr>
          <w:b/>
          <w:bCs/>
          <w:color w:val="000000"/>
          <w:sz w:val="24"/>
          <w:szCs w:val="24"/>
          <w:shd w:val="clear" w:color="auto" w:fill="FFFFFF"/>
        </w:rPr>
        <w:t>Siūlomos teisinio reguliavimo nuostatos:</w:t>
      </w:r>
      <w:r w:rsidR="0034558D" w:rsidRPr="006C663E">
        <w:rPr>
          <w:sz w:val="24"/>
          <w:szCs w:val="24"/>
          <w:lang w:eastAsia="lt-LT"/>
        </w:rPr>
        <w:t xml:space="preserve"> </w:t>
      </w:r>
      <w:r w:rsidR="003B7295" w:rsidRPr="005E52A6">
        <w:rPr>
          <w:sz w:val="24"/>
          <w:szCs w:val="24"/>
        </w:rPr>
        <w:t>Kupiškio rajono savivaldybės 202</w:t>
      </w:r>
      <w:r w:rsidR="00CF1066" w:rsidRPr="005E52A6">
        <w:rPr>
          <w:sz w:val="24"/>
          <w:szCs w:val="24"/>
        </w:rPr>
        <w:t>3</w:t>
      </w:r>
      <w:r w:rsidR="003B7295" w:rsidRPr="005E52A6">
        <w:rPr>
          <w:sz w:val="24"/>
          <w:szCs w:val="24"/>
        </w:rPr>
        <w:t xml:space="preserve"> metų biudžeto projektas parengtas vadovaujantis Lietuvos Respublikos biudžeto sandaros įstatymo 26 straipsnio 4 dalimi, </w:t>
      </w:r>
      <w:r w:rsidR="00CF2044" w:rsidRPr="005E52A6">
        <w:rPr>
          <w:sz w:val="24"/>
          <w:szCs w:val="24"/>
        </w:rPr>
        <w:t xml:space="preserve">Lietuvos Respublikos fiskalinės sutarties įgyvendinimo konstitucinio įstatymo 4 straipsniu, </w:t>
      </w:r>
      <w:r w:rsidR="003B7295" w:rsidRPr="005E52A6">
        <w:rPr>
          <w:sz w:val="24"/>
          <w:szCs w:val="24"/>
        </w:rPr>
        <w:t>Lietuvos Respublikos 202</w:t>
      </w:r>
      <w:r w:rsidR="00CF2044" w:rsidRPr="005E52A6">
        <w:rPr>
          <w:sz w:val="24"/>
          <w:szCs w:val="24"/>
        </w:rPr>
        <w:t>3</w:t>
      </w:r>
      <w:r w:rsidR="003B7295" w:rsidRPr="005E52A6">
        <w:rPr>
          <w:sz w:val="24"/>
          <w:szCs w:val="24"/>
        </w:rPr>
        <w:t xml:space="preserve"> metų valstybės biudžeto ir savivaldybių biudžetų finansinių rodiklių patvirtinimo įstatymu</w:t>
      </w:r>
      <w:r w:rsidR="00CC2AE2" w:rsidRPr="005E52A6">
        <w:rPr>
          <w:sz w:val="24"/>
          <w:szCs w:val="24"/>
        </w:rPr>
        <w:t xml:space="preserve"> (toliau – įstatymas)</w:t>
      </w:r>
      <w:r w:rsidR="003B7295" w:rsidRPr="005E52A6">
        <w:rPr>
          <w:sz w:val="24"/>
          <w:szCs w:val="24"/>
        </w:rPr>
        <w:t>, kitais norminiais teisės aktais, Savivaldybės tarybos sprendimais, Strateginio veiklos plano programomis, Savivaldybės administracijos struktūrinių padalinių  pateiktomis pajamų prognozėmis, atsižvelgiant į 202</w:t>
      </w:r>
      <w:r w:rsidR="00CF2044" w:rsidRPr="005E52A6">
        <w:rPr>
          <w:sz w:val="24"/>
          <w:szCs w:val="24"/>
        </w:rPr>
        <w:t>2</w:t>
      </w:r>
      <w:r w:rsidR="003B7295" w:rsidRPr="005E52A6">
        <w:rPr>
          <w:sz w:val="24"/>
          <w:szCs w:val="24"/>
        </w:rPr>
        <w:t xml:space="preserve"> metų Savivaldybės biudžeto asignavimų valdytojų kasines ir faktines išlaidas, kreditinius įsiskolinimus ir 202</w:t>
      </w:r>
      <w:r w:rsidR="00CF2044" w:rsidRPr="005E52A6">
        <w:rPr>
          <w:sz w:val="24"/>
          <w:szCs w:val="24"/>
        </w:rPr>
        <w:t>2</w:t>
      </w:r>
      <w:r w:rsidR="003B7295" w:rsidRPr="005E52A6">
        <w:rPr>
          <w:sz w:val="24"/>
          <w:szCs w:val="24"/>
        </w:rPr>
        <w:t xml:space="preserve"> metų nepanaudotų Savivaldybės biudžeto lėšų likučio dydį.</w:t>
      </w:r>
    </w:p>
    <w:p w14:paraId="5340889F" w14:textId="236FC3B7" w:rsidR="00905CDB" w:rsidRDefault="00C47A86" w:rsidP="00984622">
      <w:pPr>
        <w:tabs>
          <w:tab w:val="left" w:pos="1247"/>
        </w:tabs>
        <w:spacing w:line="360" w:lineRule="auto"/>
        <w:ind w:firstLine="1247"/>
        <w:rPr>
          <w:sz w:val="24"/>
          <w:szCs w:val="24"/>
        </w:rPr>
      </w:pPr>
      <w:r w:rsidRPr="006C663E">
        <w:rPr>
          <w:b/>
          <w:bCs/>
          <w:color w:val="000000"/>
          <w:sz w:val="24"/>
          <w:szCs w:val="24"/>
          <w:shd w:val="clear" w:color="auto" w:fill="FFFFFF"/>
        </w:rPr>
        <w:t>Laukiami rezultatai</w:t>
      </w:r>
      <w:r w:rsidRPr="00EB03DB">
        <w:rPr>
          <w:b/>
          <w:bCs/>
          <w:color w:val="000000"/>
          <w:sz w:val="24"/>
          <w:szCs w:val="24"/>
          <w:shd w:val="clear" w:color="auto" w:fill="FFFFFF"/>
        </w:rPr>
        <w:t>:</w:t>
      </w:r>
      <w:bookmarkStart w:id="0" w:name="part_39b9f64a8d9a446683865e40be3a818c"/>
      <w:bookmarkEnd w:id="0"/>
      <w:r w:rsidR="0029087A" w:rsidRPr="00EB03DB">
        <w:rPr>
          <w:rFonts w:eastAsia="HG Mincho Light J"/>
          <w:color w:val="000000"/>
          <w:sz w:val="24"/>
          <w:szCs w:val="24"/>
        </w:rPr>
        <w:t xml:space="preserve"> </w:t>
      </w:r>
      <w:r w:rsidR="00FA60D1" w:rsidRPr="00FA60D1">
        <w:rPr>
          <w:rFonts w:eastAsia="HG Mincho Light J"/>
          <w:color w:val="000000"/>
          <w:sz w:val="24"/>
          <w:szCs w:val="24"/>
        </w:rPr>
        <w:t>Patvirtinti Kupiškio rajono savivaldybės 202</w:t>
      </w:r>
      <w:r w:rsidR="00F770E2">
        <w:rPr>
          <w:rFonts w:eastAsia="HG Mincho Light J"/>
          <w:color w:val="000000"/>
          <w:sz w:val="24"/>
          <w:szCs w:val="24"/>
        </w:rPr>
        <w:t>3</w:t>
      </w:r>
      <w:r w:rsidR="00FA60D1" w:rsidRPr="00FA60D1">
        <w:rPr>
          <w:rFonts w:eastAsia="HG Mincho Light J"/>
          <w:color w:val="000000"/>
          <w:sz w:val="24"/>
          <w:szCs w:val="24"/>
        </w:rPr>
        <w:t xml:space="preserve"> metų biudžetą – </w:t>
      </w:r>
      <w:r w:rsidR="00F770E2">
        <w:rPr>
          <w:rFonts w:eastAsia="HG Mincho Light J"/>
          <w:color w:val="000000"/>
          <w:sz w:val="24"/>
          <w:szCs w:val="24"/>
        </w:rPr>
        <w:t>27084066</w:t>
      </w:r>
      <w:r w:rsidR="00FA60D1" w:rsidRPr="00FA60D1">
        <w:rPr>
          <w:rFonts w:eastAsia="HG Mincho Light J"/>
          <w:color w:val="000000"/>
          <w:sz w:val="24"/>
          <w:szCs w:val="24"/>
        </w:rPr>
        <w:t xml:space="preserve"> eur</w:t>
      </w:r>
      <w:r w:rsidR="00F770E2">
        <w:rPr>
          <w:rFonts w:eastAsia="HG Mincho Light J"/>
          <w:color w:val="000000"/>
          <w:sz w:val="24"/>
          <w:szCs w:val="24"/>
        </w:rPr>
        <w:t>us</w:t>
      </w:r>
      <w:r w:rsidR="00FA60D1" w:rsidRPr="00FA60D1">
        <w:rPr>
          <w:rFonts w:eastAsia="HG Mincho Light J"/>
          <w:color w:val="000000"/>
          <w:sz w:val="24"/>
          <w:szCs w:val="24"/>
        </w:rPr>
        <w:t xml:space="preserve"> einamųjų metų prognozuojamų pajamų, </w:t>
      </w:r>
      <w:r w:rsidR="00F770E2">
        <w:rPr>
          <w:rFonts w:eastAsia="HG Mincho Light J"/>
          <w:color w:val="000000"/>
          <w:sz w:val="24"/>
          <w:szCs w:val="24"/>
        </w:rPr>
        <w:t>488212</w:t>
      </w:r>
      <w:r w:rsidR="00FA60D1" w:rsidRPr="00FA60D1">
        <w:rPr>
          <w:rFonts w:eastAsia="HG Mincho Light J"/>
          <w:color w:val="000000"/>
          <w:sz w:val="24"/>
          <w:szCs w:val="24"/>
        </w:rPr>
        <w:t xml:space="preserve"> eurų ilgalaikių paskolų lėšų,</w:t>
      </w:r>
      <w:r w:rsidR="00F770E2">
        <w:rPr>
          <w:rFonts w:eastAsia="HG Mincho Light J"/>
          <w:color w:val="000000"/>
          <w:sz w:val="24"/>
          <w:szCs w:val="24"/>
        </w:rPr>
        <w:t xml:space="preserve"> 1517640 eurų sukauptų Savivaldybės praėjusių metų biudžeto nepanaudotų pajamų</w:t>
      </w:r>
      <w:r w:rsidR="00B51008">
        <w:rPr>
          <w:rFonts w:eastAsia="HG Mincho Light J"/>
          <w:color w:val="000000"/>
          <w:sz w:val="24"/>
          <w:szCs w:val="24"/>
        </w:rPr>
        <w:t xml:space="preserve">, </w:t>
      </w:r>
      <w:r w:rsidR="00984622">
        <w:rPr>
          <w:rFonts w:eastAsia="HG Mincho Light J"/>
          <w:color w:val="000000"/>
          <w:sz w:val="24"/>
          <w:szCs w:val="24"/>
        </w:rPr>
        <w:t>29089918</w:t>
      </w:r>
      <w:r w:rsidR="00FA60D1" w:rsidRPr="00FA60D1">
        <w:rPr>
          <w:rFonts w:eastAsia="HG Mincho Light J"/>
          <w:color w:val="000000"/>
          <w:sz w:val="24"/>
          <w:szCs w:val="24"/>
        </w:rPr>
        <w:t xml:space="preserve"> eur</w:t>
      </w:r>
      <w:r w:rsidR="00984622">
        <w:rPr>
          <w:rFonts w:eastAsia="HG Mincho Light J"/>
          <w:color w:val="000000"/>
          <w:sz w:val="24"/>
          <w:szCs w:val="24"/>
        </w:rPr>
        <w:t>ų</w:t>
      </w:r>
      <w:r w:rsidR="00FA60D1" w:rsidRPr="00FA60D1">
        <w:rPr>
          <w:rFonts w:eastAsia="HG Mincho Light J"/>
          <w:color w:val="000000"/>
          <w:sz w:val="24"/>
          <w:szCs w:val="24"/>
        </w:rPr>
        <w:t xml:space="preserve"> išlaidų, iš jų darbo užmokesčiui – </w:t>
      </w:r>
      <w:r w:rsidR="00984622">
        <w:rPr>
          <w:rFonts w:eastAsia="HG Mincho Light J"/>
          <w:color w:val="000000"/>
          <w:sz w:val="24"/>
          <w:szCs w:val="24"/>
        </w:rPr>
        <w:t>16743576</w:t>
      </w:r>
      <w:r w:rsidR="00FA60D1" w:rsidRPr="00FA60D1">
        <w:rPr>
          <w:rFonts w:eastAsia="HG Mincho Light J"/>
          <w:color w:val="000000"/>
          <w:sz w:val="24"/>
          <w:szCs w:val="24"/>
        </w:rPr>
        <w:t xml:space="preserve"> eurus, paskoloms grąžinti </w:t>
      </w:r>
      <w:r w:rsidR="00984622">
        <w:rPr>
          <w:rFonts w:eastAsia="HG Mincho Light J"/>
          <w:color w:val="000000"/>
          <w:sz w:val="24"/>
          <w:szCs w:val="24"/>
        </w:rPr>
        <w:t>73852</w:t>
      </w:r>
      <w:r w:rsidR="00FA60D1" w:rsidRPr="00FA60D1">
        <w:rPr>
          <w:rFonts w:eastAsia="HG Mincho Light J"/>
          <w:color w:val="000000"/>
          <w:sz w:val="24"/>
          <w:szCs w:val="24"/>
        </w:rPr>
        <w:t>0 eurų</w:t>
      </w:r>
      <w:r w:rsidR="0029087A" w:rsidRPr="00EB03DB">
        <w:rPr>
          <w:sz w:val="24"/>
          <w:szCs w:val="24"/>
        </w:rPr>
        <w:t xml:space="preserve">. Taip pat numatyta patvirtinti </w:t>
      </w:r>
      <w:r w:rsidR="00984622">
        <w:t>575090</w:t>
      </w:r>
      <w:r w:rsidR="00FA60D1" w:rsidRPr="006C0B6E">
        <w:t xml:space="preserve"> </w:t>
      </w:r>
      <w:r w:rsidR="0029087A" w:rsidRPr="00EB03DB">
        <w:rPr>
          <w:sz w:val="24"/>
          <w:szCs w:val="24"/>
        </w:rPr>
        <w:t xml:space="preserve">eurų  biudžetinių įstaigų pajamų įmokų </w:t>
      </w:r>
      <w:r w:rsidR="00984622">
        <w:rPr>
          <w:sz w:val="24"/>
          <w:szCs w:val="24"/>
        </w:rPr>
        <w:t>į Savivaldybės biudžetą.</w:t>
      </w:r>
    </w:p>
    <w:p w14:paraId="51D72656" w14:textId="0C381AA6" w:rsidR="00905CDB" w:rsidRPr="00905CDB" w:rsidRDefault="00905CDB" w:rsidP="00905CDB">
      <w:pPr>
        <w:spacing w:line="360" w:lineRule="auto"/>
        <w:ind w:firstLine="992"/>
        <w:jc w:val="center"/>
        <w:rPr>
          <w:b/>
          <w:sz w:val="24"/>
          <w:szCs w:val="24"/>
        </w:rPr>
      </w:pPr>
      <w:r w:rsidRPr="00905CDB">
        <w:rPr>
          <w:b/>
          <w:sz w:val="24"/>
          <w:szCs w:val="24"/>
        </w:rPr>
        <w:t>Kupiškio rajono savivaldybės 202</w:t>
      </w:r>
      <w:r w:rsidR="00984622">
        <w:rPr>
          <w:b/>
          <w:sz w:val="24"/>
          <w:szCs w:val="24"/>
        </w:rPr>
        <w:t>3</w:t>
      </w:r>
      <w:r w:rsidRPr="00905CDB">
        <w:rPr>
          <w:b/>
          <w:sz w:val="24"/>
          <w:szCs w:val="24"/>
        </w:rPr>
        <w:t xml:space="preserve"> metų biudžeto pajamos</w:t>
      </w:r>
    </w:p>
    <w:p w14:paraId="45E694BF" w14:textId="4763B077" w:rsidR="00905CDB" w:rsidRPr="00EB03DB" w:rsidRDefault="00905CDB" w:rsidP="00905CDB">
      <w:pPr>
        <w:tabs>
          <w:tab w:val="left" w:pos="993"/>
        </w:tabs>
        <w:spacing w:line="360" w:lineRule="auto"/>
        <w:ind w:firstLine="992"/>
        <w:rPr>
          <w:color w:val="000000"/>
          <w:sz w:val="24"/>
          <w:szCs w:val="24"/>
        </w:rPr>
      </w:pPr>
      <w:r w:rsidRPr="00905CDB">
        <w:rPr>
          <w:color w:val="000000"/>
          <w:sz w:val="24"/>
          <w:szCs w:val="24"/>
        </w:rPr>
        <w:t>202</w:t>
      </w:r>
      <w:r w:rsidR="00984622">
        <w:rPr>
          <w:color w:val="000000"/>
          <w:sz w:val="24"/>
          <w:szCs w:val="24"/>
        </w:rPr>
        <w:t>3</w:t>
      </w:r>
      <w:r w:rsidRPr="00905CDB">
        <w:rPr>
          <w:color w:val="000000"/>
          <w:sz w:val="24"/>
          <w:szCs w:val="24"/>
        </w:rPr>
        <w:t xml:space="preserve"> metų valstybės ir savivaldybių biudžetų finansinių rodiklių patvirtinimo įstatymu nustatytas Savivaldybės biudžeto finansinis rodiklis – prognozuojamos pajamos </w:t>
      </w:r>
      <w:r w:rsidR="00146D97">
        <w:rPr>
          <w:color w:val="000000"/>
          <w:sz w:val="24"/>
          <w:szCs w:val="24"/>
        </w:rPr>
        <w:t>iš gyventojų pajamų mokesčio, išskyrus fiksuoto dydžio gyventojų pajamų mokestį, mokamą už pajamas, gaunamas iš veiklos, kuria verčiamasi turint verslo liudijimą.</w:t>
      </w:r>
      <w:r w:rsidRPr="00905CDB">
        <w:rPr>
          <w:color w:val="000000"/>
          <w:sz w:val="24"/>
          <w:szCs w:val="24"/>
        </w:rPr>
        <w:t xml:space="preserve"> Palygin</w:t>
      </w:r>
      <w:r w:rsidR="00465C0F">
        <w:rPr>
          <w:color w:val="000000"/>
          <w:sz w:val="24"/>
          <w:szCs w:val="24"/>
        </w:rPr>
        <w:t>t</w:t>
      </w:r>
      <w:r w:rsidRPr="00905CDB">
        <w:rPr>
          <w:color w:val="000000"/>
          <w:sz w:val="24"/>
          <w:szCs w:val="24"/>
        </w:rPr>
        <w:t>i su 2</w:t>
      </w:r>
      <w:r>
        <w:rPr>
          <w:color w:val="000000"/>
          <w:sz w:val="24"/>
          <w:szCs w:val="24"/>
        </w:rPr>
        <w:t>0</w:t>
      </w:r>
      <w:r w:rsidR="00146D97">
        <w:rPr>
          <w:color w:val="000000"/>
          <w:sz w:val="24"/>
          <w:szCs w:val="24"/>
        </w:rPr>
        <w:t>2</w:t>
      </w:r>
      <w:r w:rsidR="003A1DE8">
        <w:rPr>
          <w:color w:val="000000"/>
          <w:sz w:val="24"/>
          <w:szCs w:val="24"/>
        </w:rPr>
        <w:t>2</w:t>
      </w:r>
      <w:r w:rsidRPr="00905CDB">
        <w:rPr>
          <w:color w:val="000000"/>
          <w:sz w:val="24"/>
          <w:szCs w:val="24"/>
        </w:rPr>
        <w:t xml:space="preserve"> metais, 202</w:t>
      </w:r>
      <w:r w:rsidR="003A1DE8">
        <w:rPr>
          <w:color w:val="000000"/>
          <w:sz w:val="24"/>
          <w:szCs w:val="24"/>
        </w:rPr>
        <w:t>3</w:t>
      </w:r>
      <w:r w:rsidRPr="00905CDB">
        <w:rPr>
          <w:color w:val="000000"/>
          <w:sz w:val="24"/>
          <w:szCs w:val="24"/>
        </w:rPr>
        <w:t xml:space="preserve"> metų valstybės ir savivaldybių biudžetų finansinių rodiklių įstatymu patvirtintos prognozuojamosios pajamos</w:t>
      </w:r>
      <w:r w:rsidR="00395CDF">
        <w:rPr>
          <w:color w:val="000000"/>
          <w:sz w:val="24"/>
          <w:szCs w:val="24"/>
        </w:rPr>
        <w:t xml:space="preserve"> iš gyventojų pajamų mokesčio</w:t>
      </w:r>
      <w:r w:rsidRPr="00905CDB">
        <w:rPr>
          <w:color w:val="000000"/>
          <w:sz w:val="24"/>
          <w:szCs w:val="24"/>
        </w:rPr>
        <w:t xml:space="preserve"> didėja </w:t>
      </w:r>
      <w:r w:rsidR="003A1DE8">
        <w:rPr>
          <w:color w:val="000000"/>
          <w:sz w:val="24"/>
          <w:szCs w:val="24"/>
        </w:rPr>
        <w:t>2235</w:t>
      </w:r>
      <w:r w:rsidRPr="00905CDB">
        <w:rPr>
          <w:color w:val="000000"/>
          <w:sz w:val="24"/>
          <w:szCs w:val="24"/>
        </w:rPr>
        <w:t xml:space="preserve"> tūkst. eurų, arba </w:t>
      </w:r>
      <w:r w:rsidR="003A1DE8">
        <w:rPr>
          <w:color w:val="000000"/>
          <w:sz w:val="24"/>
          <w:szCs w:val="24"/>
        </w:rPr>
        <w:t>17</w:t>
      </w:r>
      <w:r w:rsidR="00395CDF">
        <w:rPr>
          <w:color w:val="000000"/>
          <w:sz w:val="24"/>
          <w:szCs w:val="24"/>
        </w:rPr>
        <w:t>,1</w:t>
      </w:r>
      <w:r w:rsidRPr="00905CDB">
        <w:rPr>
          <w:color w:val="000000"/>
          <w:sz w:val="24"/>
          <w:szCs w:val="24"/>
        </w:rPr>
        <w:t xml:space="preserve"> </w:t>
      </w:r>
      <w:r w:rsidRPr="00EB03DB">
        <w:rPr>
          <w:color w:val="000000"/>
          <w:sz w:val="24"/>
          <w:szCs w:val="24"/>
        </w:rPr>
        <w:t xml:space="preserve">proc. </w:t>
      </w:r>
      <w:r w:rsidR="003A1DE8">
        <w:rPr>
          <w:color w:val="000000"/>
          <w:sz w:val="24"/>
          <w:szCs w:val="24"/>
        </w:rPr>
        <w:t xml:space="preserve">Į Savivaldybės </w:t>
      </w:r>
      <w:r w:rsidR="003A1DE8">
        <w:rPr>
          <w:color w:val="000000"/>
          <w:sz w:val="24"/>
          <w:szCs w:val="24"/>
        </w:rPr>
        <w:lastRenderedPageBreak/>
        <w:t xml:space="preserve">biudžetą yra įskaitoma 20 tūkst. eurų fiksuoto gyventojų pajamų mokesčio, </w:t>
      </w:r>
      <w:r w:rsidR="00855EEB">
        <w:rPr>
          <w:color w:val="000000"/>
          <w:sz w:val="24"/>
          <w:szCs w:val="24"/>
        </w:rPr>
        <w:t xml:space="preserve">mokamo už pajamas, gaunamas iš veiklos, kuria verčiamasi įsigijus verslo liudijimą. </w:t>
      </w:r>
    </w:p>
    <w:p w14:paraId="39E5459E" w14:textId="78B4FA90" w:rsidR="00905CDB" w:rsidRPr="00905CDB" w:rsidRDefault="00905CDB" w:rsidP="00905CDB">
      <w:pPr>
        <w:tabs>
          <w:tab w:val="left" w:pos="993"/>
        </w:tabs>
        <w:spacing w:line="360" w:lineRule="auto"/>
        <w:ind w:firstLine="992"/>
        <w:rPr>
          <w:color w:val="000000"/>
          <w:sz w:val="24"/>
          <w:szCs w:val="24"/>
        </w:rPr>
      </w:pPr>
      <w:r w:rsidRPr="00EB03DB">
        <w:rPr>
          <w:color w:val="000000"/>
          <w:sz w:val="24"/>
          <w:szCs w:val="24"/>
        </w:rPr>
        <w:tab/>
        <w:t>Tvirtinant 202</w:t>
      </w:r>
      <w:r w:rsidR="00465C0F">
        <w:rPr>
          <w:color w:val="000000"/>
          <w:sz w:val="24"/>
          <w:szCs w:val="24"/>
        </w:rPr>
        <w:t>3</w:t>
      </w:r>
      <w:r w:rsidRPr="00EB03DB">
        <w:rPr>
          <w:color w:val="000000"/>
          <w:sz w:val="24"/>
          <w:szCs w:val="24"/>
        </w:rPr>
        <w:t xml:space="preserve"> metų valstybės biudžeto ir savivaldybių biudžetų finansinius rodiklius, įstatyme </w:t>
      </w:r>
      <w:r w:rsidR="00CC2AE2">
        <w:rPr>
          <w:color w:val="000000"/>
          <w:sz w:val="24"/>
          <w:szCs w:val="24"/>
        </w:rPr>
        <w:t>yra</w:t>
      </w:r>
      <w:r w:rsidRPr="00EB03DB">
        <w:rPr>
          <w:color w:val="000000"/>
          <w:sz w:val="24"/>
          <w:szCs w:val="24"/>
        </w:rPr>
        <w:t xml:space="preserve"> nuostata, kuria patvirtintos savivaldybių prognozuojamos</w:t>
      </w:r>
      <w:r w:rsidRPr="004B55F7">
        <w:rPr>
          <w:color w:val="000000"/>
        </w:rPr>
        <w:t xml:space="preserve"> </w:t>
      </w:r>
      <w:r w:rsidRPr="00905CDB">
        <w:rPr>
          <w:color w:val="000000"/>
          <w:sz w:val="24"/>
          <w:szCs w:val="24"/>
        </w:rPr>
        <w:t>pajamos</w:t>
      </w:r>
      <w:r w:rsidR="00CC2AE2">
        <w:rPr>
          <w:color w:val="000000"/>
          <w:sz w:val="24"/>
          <w:szCs w:val="24"/>
        </w:rPr>
        <w:t xml:space="preserve"> iš gyventojų pajamų mokesčio</w:t>
      </w:r>
      <w:r w:rsidRPr="00905CDB">
        <w:rPr>
          <w:color w:val="000000"/>
          <w:sz w:val="24"/>
          <w:szCs w:val="24"/>
        </w:rPr>
        <w:t xml:space="preserve"> (įstatymo </w:t>
      </w:r>
      <w:r w:rsidR="00CC2AE2">
        <w:rPr>
          <w:color w:val="000000"/>
          <w:sz w:val="24"/>
          <w:szCs w:val="24"/>
        </w:rPr>
        <w:t>5</w:t>
      </w:r>
      <w:r w:rsidRPr="00905CDB">
        <w:rPr>
          <w:color w:val="FF0000"/>
          <w:sz w:val="24"/>
          <w:szCs w:val="24"/>
        </w:rPr>
        <w:t xml:space="preserve"> </w:t>
      </w:r>
      <w:r w:rsidRPr="00905CDB">
        <w:rPr>
          <w:color w:val="000000"/>
          <w:sz w:val="24"/>
          <w:szCs w:val="24"/>
        </w:rPr>
        <w:t>priedas) negali būti keičiamos ir šių pajamų dydžiu savivaldybės privalo vadovautis rengdamos savo biudžetus.</w:t>
      </w:r>
    </w:p>
    <w:p w14:paraId="2BAC9D42" w14:textId="41B9F7EC" w:rsidR="00905CDB" w:rsidRDefault="00905CDB" w:rsidP="00905CDB">
      <w:pPr>
        <w:tabs>
          <w:tab w:val="left" w:pos="993"/>
        </w:tabs>
        <w:spacing w:line="360" w:lineRule="auto"/>
        <w:ind w:firstLine="992"/>
        <w:rPr>
          <w:sz w:val="24"/>
          <w:szCs w:val="24"/>
        </w:rPr>
      </w:pPr>
      <w:r w:rsidRPr="00905CDB">
        <w:rPr>
          <w:color w:val="000000"/>
          <w:sz w:val="24"/>
          <w:szCs w:val="24"/>
        </w:rPr>
        <w:t xml:space="preserve">Į </w:t>
      </w:r>
      <w:r w:rsidR="00CC2AE2">
        <w:rPr>
          <w:color w:val="000000"/>
          <w:sz w:val="24"/>
          <w:szCs w:val="24"/>
        </w:rPr>
        <w:t xml:space="preserve">įstatymu patvirtintas </w:t>
      </w:r>
      <w:r w:rsidRPr="00905CDB">
        <w:rPr>
          <w:color w:val="000000"/>
          <w:sz w:val="24"/>
          <w:szCs w:val="24"/>
        </w:rPr>
        <w:t xml:space="preserve">prognozuojamas pajamas neįskaitomos savivaldybių </w:t>
      </w:r>
      <w:r w:rsidR="00CC2AE2">
        <w:rPr>
          <w:color w:val="000000"/>
          <w:sz w:val="24"/>
          <w:szCs w:val="24"/>
        </w:rPr>
        <w:t xml:space="preserve">biudžetų gaunamos pajamos iš kitų mokesčių gaunamų į savivaldybių biudžetus, t. y. nekilnojamojo, žemės, paveldimo turto ir valstybinės žemės nuomos mokesčio. Taip pat neįskaitomos </w:t>
      </w:r>
      <w:r w:rsidRPr="00905CDB">
        <w:rPr>
          <w:sz w:val="24"/>
          <w:szCs w:val="24"/>
        </w:rPr>
        <w:t>biudžetinių įstaigų gaunamos pajamos, vietinės rinkliavos, Europos Sąjungos finansinės paramos lėšos bei pajamos, priskirtos pagal Savivaldybių aplinkos apsaugos rėmimo specialiosios programos įstatymą. Savivaldybių prognozuojamos pajamos skiriamos savarankiškai savivaldybių funkcijai vykdyti.</w:t>
      </w:r>
    </w:p>
    <w:p w14:paraId="2835508E" w14:textId="09678A36" w:rsidR="00905CDB" w:rsidRDefault="00905CDB" w:rsidP="00905CDB">
      <w:pPr>
        <w:tabs>
          <w:tab w:val="left" w:pos="993"/>
        </w:tabs>
        <w:spacing w:line="360" w:lineRule="auto"/>
        <w:ind w:firstLine="992"/>
        <w:jc w:val="right"/>
        <w:rPr>
          <w:sz w:val="24"/>
          <w:szCs w:val="24"/>
        </w:rPr>
      </w:pPr>
      <w:r>
        <w:rPr>
          <w:sz w:val="24"/>
          <w:szCs w:val="24"/>
        </w:rPr>
        <w:t>1 lentelė</w:t>
      </w:r>
    </w:p>
    <w:p w14:paraId="426524FC" w14:textId="10057B79" w:rsidR="00905CDB" w:rsidRDefault="00A4791C" w:rsidP="00905CDB">
      <w:pPr>
        <w:tabs>
          <w:tab w:val="left" w:pos="993"/>
        </w:tabs>
        <w:spacing w:line="360" w:lineRule="auto"/>
        <w:ind w:firstLine="992"/>
        <w:rPr>
          <w:b/>
          <w:sz w:val="24"/>
          <w:szCs w:val="24"/>
        </w:rPr>
      </w:pPr>
      <w:r w:rsidRPr="00A4791C">
        <w:rPr>
          <w:b/>
          <w:sz w:val="24"/>
          <w:szCs w:val="24"/>
        </w:rPr>
        <w:t xml:space="preserve">        S</w:t>
      </w:r>
      <w:r w:rsidR="00905CDB" w:rsidRPr="00A4791C">
        <w:rPr>
          <w:b/>
          <w:sz w:val="24"/>
          <w:szCs w:val="24"/>
        </w:rPr>
        <w:t>avivaldybės biudžeto visos prognozuojamos pajamos</w:t>
      </w:r>
    </w:p>
    <w:tbl>
      <w:tblPr>
        <w:tblW w:w="5029" w:type="pct"/>
        <w:tblLook w:val="04A0" w:firstRow="1" w:lastRow="0" w:firstColumn="1" w:lastColumn="0" w:noHBand="0" w:noVBand="1"/>
      </w:tblPr>
      <w:tblGrid>
        <w:gridCol w:w="5195"/>
        <w:gridCol w:w="1396"/>
        <w:gridCol w:w="1386"/>
        <w:gridCol w:w="1039"/>
        <w:gridCol w:w="896"/>
      </w:tblGrid>
      <w:tr w:rsidR="00966B78" w:rsidRPr="005B19B0" w14:paraId="0A8BB868" w14:textId="77777777" w:rsidTr="00BC6AC2">
        <w:trPr>
          <w:trHeight w:val="735"/>
        </w:trPr>
        <w:tc>
          <w:tcPr>
            <w:tcW w:w="2621" w:type="pct"/>
            <w:vMerge w:val="restart"/>
            <w:tcBorders>
              <w:top w:val="single" w:sz="4" w:space="0" w:color="auto"/>
              <w:left w:val="single" w:sz="4" w:space="0" w:color="auto"/>
              <w:bottom w:val="single" w:sz="4" w:space="0" w:color="auto"/>
              <w:right w:val="nil"/>
            </w:tcBorders>
            <w:shd w:val="clear" w:color="auto" w:fill="FFFF99"/>
            <w:vAlign w:val="center"/>
            <w:hideMark/>
          </w:tcPr>
          <w:p w14:paraId="1BA5803A" w14:textId="77777777" w:rsidR="005B19B0" w:rsidRPr="005B19B0" w:rsidRDefault="005B19B0" w:rsidP="005B19B0">
            <w:pPr>
              <w:ind w:firstLine="0"/>
              <w:jc w:val="center"/>
              <w:rPr>
                <w:b/>
                <w:bCs/>
                <w:sz w:val="20"/>
                <w:lang w:eastAsia="lt-LT"/>
              </w:rPr>
            </w:pPr>
            <w:r w:rsidRPr="005B19B0">
              <w:rPr>
                <w:b/>
                <w:bCs/>
                <w:sz w:val="20"/>
                <w:lang w:eastAsia="lt-LT"/>
              </w:rPr>
              <w:t>Rodiklio pavadinimas</w:t>
            </w:r>
          </w:p>
        </w:tc>
        <w:tc>
          <w:tcPr>
            <w:tcW w:w="704"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3734E0E0" w14:textId="0C481681" w:rsidR="005B19B0" w:rsidRPr="005B19B0" w:rsidRDefault="005B19B0" w:rsidP="005B19B0">
            <w:pPr>
              <w:ind w:firstLine="0"/>
              <w:jc w:val="center"/>
              <w:rPr>
                <w:b/>
                <w:bCs/>
                <w:sz w:val="20"/>
                <w:lang w:eastAsia="lt-LT"/>
              </w:rPr>
            </w:pPr>
            <w:r w:rsidRPr="005B19B0">
              <w:rPr>
                <w:b/>
                <w:bCs/>
                <w:sz w:val="20"/>
                <w:lang w:eastAsia="lt-LT"/>
              </w:rPr>
              <w:t>2022 m. prognozuo</w:t>
            </w:r>
            <w:r w:rsidR="00B23D27" w:rsidRPr="00377534">
              <w:rPr>
                <w:b/>
                <w:bCs/>
                <w:sz w:val="20"/>
                <w:lang w:eastAsia="lt-LT"/>
              </w:rPr>
              <w:t>-</w:t>
            </w:r>
            <w:r w:rsidRPr="005B19B0">
              <w:rPr>
                <w:b/>
                <w:bCs/>
                <w:sz w:val="20"/>
                <w:lang w:eastAsia="lt-LT"/>
              </w:rPr>
              <w:t>jamos pajamos</w:t>
            </w:r>
            <w:r w:rsidRPr="005B19B0">
              <w:rPr>
                <w:b/>
                <w:bCs/>
                <w:sz w:val="20"/>
                <w:lang w:eastAsia="lt-LT"/>
              </w:rPr>
              <w:br/>
              <w:t xml:space="preserve"> (tūkst. Eur)</w:t>
            </w:r>
          </w:p>
        </w:tc>
        <w:tc>
          <w:tcPr>
            <w:tcW w:w="699" w:type="pct"/>
            <w:vMerge w:val="restart"/>
            <w:tcBorders>
              <w:top w:val="single" w:sz="4" w:space="0" w:color="auto"/>
              <w:left w:val="single" w:sz="4" w:space="0" w:color="auto"/>
              <w:bottom w:val="single" w:sz="4" w:space="0" w:color="auto"/>
              <w:right w:val="single" w:sz="4" w:space="0" w:color="auto"/>
            </w:tcBorders>
            <w:shd w:val="clear" w:color="auto" w:fill="FFFF99"/>
            <w:vAlign w:val="center"/>
            <w:hideMark/>
          </w:tcPr>
          <w:p w14:paraId="02A3C6DF" w14:textId="3F90690F" w:rsidR="005B19B0" w:rsidRPr="005B19B0" w:rsidRDefault="005B19B0" w:rsidP="005B19B0">
            <w:pPr>
              <w:ind w:firstLine="0"/>
              <w:jc w:val="center"/>
              <w:rPr>
                <w:b/>
                <w:bCs/>
                <w:sz w:val="20"/>
                <w:lang w:eastAsia="lt-LT"/>
              </w:rPr>
            </w:pPr>
            <w:r w:rsidRPr="005B19B0">
              <w:rPr>
                <w:b/>
                <w:bCs/>
                <w:sz w:val="20"/>
                <w:lang w:eastAsia="lt-LT"/>
              </w:rPr>
              <w:t>2023 m. prognozuo</w:t>
            </w:r>
            <w:r w:rsidR="00B23D27" w:rsidRPr="00377534">
              <w:rPr>
                <w:b/>
                <w:bCs/>
                <w:sz w:val="20"/>
                <w:lang w:eastAsia="lt-LT"/>
              </w:rPr>
              <w:t>-</w:t>
            </w:r>
            <w:r w:rsidRPr="005B19B0">
              <w:rPr>
                <w:b/>
                <w:bCs/>
                <w:sz w:val="20"/>
                <w:lang w:eastAsia="lt-LT"/>
              </w:rPr>
              <w:t>jamos pajamos</w:t>
            </w:r>
            <w:r w:rsidRPr="005B19B0">
              <w:rPr>
                <w:b/>
                <w:bCs/>
                <w:sz w:val="20"/>
                <w:lang w:eastAsia="lt-LT"/>
              </w:rPr>
              <w:br/>
              <w:t xml:space="preserve"> (tūkst. Eur)</w:t>
            </w:r>
          </w:p>
        </w:tc>
        <w:tc>
          <w:tcPr>
            <w:tcW w:w="977" w:type="pct"/>
            <w:gridSpan w:val="2"/>
            <w:tcBorders>
              <w:top w:val="single" w:sz="4" w:space="0" w:color="auto"/>
              <w:left w:val="nil"/>
              <w:bottom w:val="single" w:sz="4" w:space="0" w:color="auto"/>
              <w:right w:val="single" w:sz="4" w:space="0" w:color="auto"/>
            </w:tcBorders>
            <w:shd w:val="clear" w:color="auto" w:fill="FFFF99"/>
            <w:vAlign w:val="center"/>
            <w:hideMark/>
          </w:tcPr>
          <w:p w14:paraId="60111627" w14:textId="77777777" w:rsidR="005B19B0" w:rsidRPr="005B19B0" w:rsidRDefault="005B19B0" w:rsidP="005B19B0">
            <w:pPr>
              <w:ind w:firstLine="0"/>
              <w:jc w:val="center"/>
              <w:rPr>
                <w:b/>
                <w:bCs/>
                <w:sz w:val="18"/>
                <w:szCs w:val="18"/>
                <w:lang w:eastAsia="lt-LT"/>
              </w:rPr>
            </w:pPr>
            <w:r w:rsidRPr="005B19B0">
              <w:rPr>
                <w:b/>
                <w:bCs/>
                <w:sz w:val="18"/>
                <w:szCs w:val="18"/>
                <w:lang w:eastAsia="lt-LT"/>
              </w:rPr>
              <w:t>2023 m. palyginti su 2022 m.</w:t>
            </w:r>
          </w:p>
        </w:tc>
      </w:tr>
      <w:tr w:rsidR="00B23D27" w:rsidRPr="005B19B0" w14:paraId="67392617" w14:textId="77777777" w:rsidTr="00BC6AC2">
        <w:trPr>
          <w:trHeight w:val="323"/>
        </w:trPr>
        <w:tc>
          <w:tcPr>
            <w:tcW w:w="2621" w:type="pct"/>
            <w:vMerge/>
            <w:tcBorders>
              <w:top w:val="single" w:sz="4" w:space="0" w:color="auto"/>
              <w:left w:val="single" w:sz="4" w:space="0" w:color="auto"/>
              <w:bottom w:val="single" w:sz="4" w:space="0" w:color="auto"/>
              <w:right w:val="nil"/>
            </w:tcBorders>
            <w:shd w:val="clear" w:color="auto" w:fill="FFFF99"/>
            <w:vAlign w:val="center"/>
            <w:hideMark/>
          </w:tcPr>
          <w:p w14:paraId="2D2E16EB" w14:textId="77777777" w:rsidR="005B19B0" w:rsidRPr="005B19B0" w:rsidRDefault="005B19B0" w:rsidP="005B19B0">
            <w:pPr>
              <w:ind w:firstLine="0"/>
              <w:jc w:val="left"/>
              <w:rPr>
                <w:b/>
                <w:bCs/>
                <w:sz w:val="18"/>
                <w:szCs w:val="18"/>
                <w:lang w:eastAsia="lt-LT"/>
              </w:rPr>
            </w:pPr>
          </w:p>
        </w:tc>
        <w:tc>
          <w:tcPr>
            <w:tcW w:w="704" w:type="pct"/>
            <w:vMerge/>
            <w:tcBorders>
              <w:top w:val="single" w:sz="4" w:space="0" w:color="auto"/>
              <w:left w:val="single" w:sz="4" w:space="0" w:color="auto"/>
              <w:bottom w:val="single" w:sz="4" w:space="0" w:color="auto"/>
              <w:right w:val="single" w:sz="4" w:space="0" w:color="auto"/>
            </w:tcBorders>
            <w:shd w:val="clear" w:color="auto" w:fill="FFFF99"/>
            <w:vAlign w:val="center"/>
            <w:hideMark/>
          </w:tcPr>
          <w:p w14:paraId="5C32047E" w14:textId="77777777" w:rsidR="005B19B0" w:rsidRPr="005B19B0" w:rsidRDefault="005B19B0" w:rsidP="005B19B0">
            <w:pPr>
              <w:ind w:firstLine="0"/>
              <w:jc w:val="left"/>
              <w:rPr>
                <w:b/>
                <w:bCs/>
                <w:sz w:val="20"/>
                <w:lang w:eastAsia="lt-LT"/>
              </w:rPr>
            </w:pPr>
          </w:p>
        </w:tc>
        <w:tc>
          <w:tcPr>
            <w:tcW w:w="699" w:type="pct"/>
            <w:vMerge/>
            <w:tcBorders>
              <w:top w:val="single" w:sz="4" w:space="0" w:color="auto"/>
              <w:left w:val="single" w:sz="4" w:space="0" w:color="auto"/>
              <w:bottom w:val="single" w:sz="4" w:space="0" w:color="auto"/>
              <w:right w:val="single" w:sz="4" w:space="0" w:color="auto"/>
            </w:tcBorders>
            <w:shd w:val="clear" w:color="auto" w:fill="FFFF99"/>
            <w:vAlign w:val="center"/>
            <w:hideMark/>
          </w:tcPr>
          <w:p w14:paraId="05E34EC9" w14:textId="77777777" w:rsidR="005B19B0" w:rsidRPr="005B19B0" w:rsidRDefault="005B19B0" w:rsidP="005B19B0">
            <w:pPr>
              <w:ind w:firstLine="0"/>
              <w:jc w:val="left"/>
              <w:rPr>
                <w:b/>
                <w:bCs/>
                <w:sz w:val="20"/>
                <w:lang w:eastAsia="lt-LT"/>
              </w:rPr>
            </w:pPr>
          </w:p>
        </w:tc>
        <w:tc>
          <w:tcPr>
            <w:tcW w:w="524" w:type="pct"/>
            <w:tcBorders>
              <w:top w:val="nil"/>
              <w:left w:val="nil"/>
              <w:bottom w:val="single" w:sz="4" w:space="0" w:color="auto"/>
              <w:right w:val="single" w:sz="4" w:space="0" w:color="auto"/>
            </w:tcBorders>
            <w:shd w:val="clear" w:color="auto" w:fill="FFFF99"/>
            <w:vAlign w:val="center"/>
            <w:hideMark/>
          </w:tcPr>
          <w:p w14:paraId="7C5235E7" w14:textId="77777777" w:rsidR="005B19B0" w:rsidRPr="005B19B0" w:rsidRDefault="005B19B0" w:rsidP="005B19B0">
            <w:pPr>
              <w:ind w:firstLine="0"/>
              <w:jc w:val="center"/>
              <w:rPr>
                <w:b/>
                <w:bCs/>
                <w:sz w:val="18"/>
                <w:szCs w:val="18"/>
                <w:lang w:eastAsia="lt-LT"/>
              </w:rPr>
            </w:pPr>
            <w:r w:rsidRPr="005B19B0">
              <w:rPr>
                <w:b/>
                <w:bCs/>
                <w:sz w:val="18"/>
                <w:szCs w:val="18"/>
                <w:lang w:eastAsia="lt-LT"/>
              </w:rPr>
              <w:t>proc.</w:t>
            </w:r>
          </w:p>
        </w:tc>
        <w:tc>
          <w:tcPr>
            <w:tcW w:w="452" w:type="pct"/>
            <w:tcBorders>
              <w:top w:val="nil"/>
              <w:left w:val="nil"/>
              <w:bottom w:val="single" w:sz="4" w:space="0" w:color="auto"/>
              <w:right w:val="single" w:sz="4" w:space="0" w:color="auto"/>
            </w:tcBorders>
            <w:shd w:val="clear" w:color="auto" w:fill="FFFF99"/>
            <w:vAlign w:val="center"/>
            <w:hideMark/>
          </w:tcPr>
          <w:p w14:paraId="78EAEAA8" w14:textId="42F6223D" w:rsidR="005B19B0" w:rsidRPr="005B19B0" w:rsidRDefault="00465C0F" w:rsidP="005B19B0">
            <w:pPr>
              <w:ind w:firstLine="0"/>
              <w:jc w:val="center"/>
              <w:rPr>
                <w:b/>
                <w:bCs/>
                <w:sz w:val="18"/>
                <w:szCs w:val="18"/>
                <w:lang w:eastAsia="lt-LT"/>
              </w:rPr>
            </w:pPr>
            <w:r>
              <w:rPr>
                <w:b/>
                <w:bCs/>
                <w:sz w:val="18"/>
                <w:szCs w:val="18"/>
                <w:lang w:eastAsia="lt-LT"/>
              </w:rPr>
              <w:t>tūkst. Eur</w:t>
            </w:r>
          </w:p>
        </w:tc>
      </w:tr>
      <w:tr w:rsidR="00B23D27" w:rsidRPr="005B19B0" w14:paraId="1FBE7F10" w14:textId="77777777" w:rsidTr="00BC6AC2">
        <w:trPr>
          <w:trHeight w:val="300"/>
        </w:trPr>
        <w:tc>
          <w:tcPr>
            <w:tcW w:w="2621" w:type="pct"/>
            <w:tcBorders>
              <w:top w:val="nil"/>
              <w:left w:val="single" w:sz="4" w:space="0" w:color="auto"/>
              <w:bottom w:val="single" w:sz="4" w:space="0" w:color="auto"/>
              <w:right w:val="single" w:sz="4" w:space="0" w:color="auto"/>
            </w:tcBorders>
            <w:shd w:val="clear" w:color="000000" w:fill="FFFFFF"/>
            <w:vAlign w:val="center"/>
            <w:hideMark/>
          </w:tcPr>
          <w:p w14:paraId="16773253" w14:textId="77777777" w:rsidR="005B19B0" w:rsidRPr="005B19B0" w:rsidRDefault="005B19B0" w:rsidP="005B19B0">
            <w:pPr>
              <w:ind w:firstLine="0"/>
              <w:jc w:val="right"/>
              <w:rPr>
                <w:i/>
                <w:iCs/>
                <w:sz w:val="18"/>
                <w:szCs w:val="18"/>
                <w:lang w:eastAsia="lt-LT"/>
              </w:rPr>
            </w:pPr>
            <w:r w:rsidRPr="005B19B0">
              <w:rPr>
                <w:i/>
                <w:iCs/>
                <w:sz w:val="18"/>
                <w:szCs w:val="18"/>
                <w:lang w:eastAsia="lt-LT"/>
              </w:rPr>
              <w:t xml:space="preserve">GPM procentinė dalis tenkanti savivaldybių biudžetams  </w:t>
            </w:r>
          </w:p>
        </w:tc>
        <w:tc>
          <w:tcPr>
            <w:tcW w:w="704" w:type="pct"/>
            <w:tcBorders>
              <w:top w:val="nil"/>
              <w:left w:val="nil"/>
              <w:bottom w:val="single" w:sz="4" w:space="0" w:color="auto"/>
              <w:right w:val="single" w:sz="4" w:space="0" w:color="auto"/>
            </w:tcBorders>
            <w:shd w:val="clear" w:color="000000" w:fill="FFFFFF"/>
            <w:vAlign w:val="center"/>
            <w:hideMark/>
          </w:tcPr>
          <w:p w14:paraId="75D25831" w14:textId="77777777" w:rsidR="005B19B0" w:rsidRPr="005B19B0" w:rsidRDefault="005B19B0" w:rsidP="005B19B0">
            <w:pPr>
              <w:ind w:firstLine="0"/>
              <w:jc w:val="center"/>
              <w:rPr>
                <w:i/>
                <w:iCs/>
                <w:sz w:val="18"/>
                <w:szCs w:val="18"/>
                <w:lang w:eastAsia="lt-LT"/>
              </w:rPr>
            </w:pPr>
            <w:r w:rsidRPr="005B19B0">
              <w:rPr>
                <w:i/>
                <w:iCs/>
                <w:sz w:val="18"/>
                <w:szCs w:val="18"/>
                <w:lang w:eastAsia="lt-LT"/>
              </w:rPr>
              <w:t>48,19%</w:t>
            </w:r>
          </w:p>
        </w:tc>
        <w:tc>
          <w:tcPr>
            <w:tcW w:w="699" w:type="pct"/>
            <w:tcBorders>
              <w:top w:val="nil"/>
              <w:left w:val="nil"/>
              <w:bottom w:val="single" w:sz="4" w:space="0" w:color="auto"/>
              <w:right w:val="single" w:sz="4" w:space="0" w:color="auto"/>
            </w:tcBorders>
            <w:shd w:val="clear" w:color="000000" w:fill="FFFFFF"/>
            <w:vAlign w:val="center"/>
            <w:hideMark/>
          </w:tcPr>
          <w:p w14:paraId="218E38ED" w14:textId="08E9F0DC" w:rsidR="005B19B0" w:rsidRPr="005B19B0" w:rsidRDefault="00A91568" w:rsidP="005B19B0">
            <w:pPr>
              <w:ind w:firstLine="0"/>
              <w:jc w:val="center"/>
              <w:rPr>
                <w:i/>
                <w:iCs/>
                <w:sz w:val="18"/>
                <w:szCs w:val="18"/>
                <w:lang w:eastAsia="lt-LT"/>
              </w:rPr>
            </w:pPr>
            <w:r>
              <w:rPr>
                <w:i/>
                <w:iCs/>
                <w:sz w:val="18"/>
                <w:szCs w:val="18"/>
                <w:lang w:eastAsia="lt-LT"/>
              </w:rPr>
              <w:t>50,88</w:t>
            </w:r>
            <w:r w:rsidR="005B19B0" w:rsidRPr="005B19B0">
              <w:rPr>
                <w:i/>
                <w:iCs/>
                <w:sz w:val="18"/>
                <w:szCs w:val="18"/>
                <w:lang w:eastAsia="lt-LT"/>
              </w:rPr>
              <w:t>%</w:t>
            </w:r>
          </w:p>
        </w:tc>
        <w:tc>
          <w:tcPr>
            <w:tcW w:w="524" w:type="pct"/>
            <w:tcBorders>
              <w:top w:val="nil"/>
              <w:left w:val="nil"/>
              <w:bottom w:val="single" w:sz="4" w:space="0" w:color="auto"/>
              <w:right w:val="single" w:sz="4" w:space="0" w:color="auto"/>
            </w:tcBorders>
            <w:shd w:val="clear" w:color="000000" w:fill="FFFFFF"/>
            <w:vAlign w:val="center"/>
            <w:hideMark/>
          </w:tcPr>
          <w:p w14:paraId="682AAFF1" w14:textId="51FD4CE3" w:rsidR="005B19B0" w:rsidRPr="00B52B10" w:rsidRDefault="00A91568" w:rsidP="005B19B0">
            <w:pPr>
              <w:ind w:firstLine="0"/>
              <w:jc w:val="center"/>
              <w:rPr>
                <w:i/>
                <w:iCs/>
                <w:sz w:val="20"/>
                <w:lang w:eastAsia="lt-LT"/>
              </w:rPr>
            </w:pPr>
            <w:r w:rsidRPr="00B52B10">
              <w:rPr>
                <w:i/>
                <w:iCs/>
                <w:sz w:val="20"/>
                <w:lang w:eastAsia="lt-LT"/>
              </w:rPr>
              <w:t>5,6</w:t>
            </w:r>
          </w:p>
        </w:tc>
        <w:tc>
          <w:tcPr>
            <w:tcW w:w="452" w:type="pct"/>
            <w:tcBorders>
              <w:top w:val="nil"/>
              <w:left w:val="nil"/>
              <w:bottom w:val="single" w:sz="4" w:space="0" w:color="auto"/>
              <w:right w:val="single" w:sz="4" w:space="0" w:color="auto"/>
            </w:tcBorders>
            <w:shd w:val="clear" w:color="000000" w:fill="FFFFFF"/>
            <w:vAlign w:val="center"/>
            <w:hideMark/>
          </w:tcPr>
          <w:p w14:paraId="48AC9435" w14:textId="77777777" w:rsidR="005B19B0" w:rsidRPr="00B52B10" w:rsidRDefault="005B19B0" w:rsidP="005B19B0">
            <w:pPr>
              <w:ind w:firstLine="0"/>
              <w:jc w:val="center"/>
              <w:rPr>
                <w:i/>
                <w:iCs/>
                <w:sz w:val="20"/>
                <w:lang w:eastAsia="lt-LT"/>
              </w:rPr>
            </w:pPr>
            <w:r w:rsidRPr="00B52B10">
              <w:rPr>
                <w:i/>
                <w:iCs/>
                <w:sz w:val="20"/>
                <w:lang w:eastAsia="lt-LT"/>
              </w:rPr>
              <w:t>0</w:t>
            </w:r>
          </w:p>
        </w:tc>
      </w:tr>
      <w:tr w:rsidR="00B23D27" w:rsidRPr="005B19B0" w14:paraId="0A5EB452" w14:textId="77777777" w:rsidTr="00BC6AC2">
        <w:trPr>
          <w:trHeight w:val="37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A1D3910" w14:textId="77777777" w:rsidR="005B19B0" w:rsidRPr="005B19B0" w:rsidRDefault="005B19B0" w:rsidP="005B19B0">
            <w:pPr>
              <w:ind w:firstLine="0"/>
              <w:jc w:val="left"/>
              <w:rPr>
                <w:b/>
                <w:bCs/>
                <w:sz w:val="22"/>
                <w:szCs w:val="22"/>
                <w:lang w:eastAsia="lt-LT"/>
              </w:rPr>
            </w:pPr>
            <w:r w:rsidRPr="005B19B0">
              <w:rPr>
                <w:b/>
                <w:bCs/>
                <w:sz w:val="22"/>
                <w:szCs w:val="22"/>
                <w:lang w:eastAsia="lt-LT"/>
              </w:rPr>
              <w:t xml:space="preserve">1. Pajamos iš mokesčių ir turto pajamos </w:t>
            </w:r>
          </w:p>
        </w:tc>
        <w:tc>
          <w:tcPr>
            <w:tcW w:w="704" w:type="pct"/>
            <w:tcBorders>
              <w:top w:val="nil"/>
              <w:left w:val="nil"/>
              <w:bottom w:val="single" w:sz="4" w:space="0" w:color="auto"/>
              <w:right w:val="single" w:sz="4" w:space="0" w:color="auto"/>
            </w:tcBorders>
            <w:shd w:val="clear" w:color="000000" w:fill="FFFFFF"/>
            <w:vAlign w:val="center"/>
            <w:hideMark/>
          </w:tcPr>
          <w:p w14:paraId="7E231A1D" w14:textId="77777777" w:rsidR="005B19B0" w:rsidRPr="005B19B0" w:rsidRDefault="005B19B0" w:rsidP="005B19B0">
            <w:pPr>
              <w:ind w:firstLine="0"/>
              <w:jc w:val="center"/>
              <w:rPr>
                <w:b/>
                <w:bCs/>
                <w:sz w:val="22"/>
                <w:szCs w:val="22"/>
                <w:lang w:eastAsia="lt-LT"/>
              </w:rPr>
            </w:pPr>
            <w:r w:rsidRPr="005B19B0">
              <w:rPr>
                <w:b/>
                <w:bCs/>
                <w:sz w:val="22"/>
                <w:szCs w:val="22"/>
                <w:lang w:eastAsia="lt-LT"/>
              </w:rPr>
              <w:t>13 854,0</w:t>
            </w:r>
          </w:p>
        </w:tc>
        <w:tc>
          <w:tcPr>
            <w:tcW w:w="699" w:type="pct"/>
            <w:tcBorders>
              <w:top w:val="nil"/>
              <w:left w:val="nil"/>
              <w:bottom w:val="single" w:sz="4" w:space="0" w:color="auto"/>
              <w:right w:val="single" w:sz="4" w:space="0" w:color="auto"/>
            </w:tcBorders>
            <w:shd w:val="clear" w:color="000000" w:fill="FFFFFF"/>
            <w:vAlign w:val="center"/>
            <w:hideMark/>
          </w:tcPr>
          <w:p w14:paraId="23ADBBAE" w14:textId="77777777" w:rsidR="005B19B0" w:rsidRPr="005B19B0" w:rsidRDefault="005B19B0" w:rsidP="005B19B0">
            <w:pPr>
              <w:ind w:firstLine="0"/>
              <w:jc w:val="center"/>
              <w:rPr>
                <w:b/>
                <w:bCs/>
                <w:sz w:val="22"/>
                <w:szCs w:val="22"/>
                <w:lang w:eastAsia="lt-LT"/>
              </w:rPr>
            </w:pPr>
            <w:r w:rsidRPr="005B19B0">
              <w:rPr>
                <w:b/>
                <w:bCs/>
                <w:sz w:val="22"/>
                <w:szCs w:val="22"/>
                <w:lang w:eastAsia="lt-LT"/>
              </w:rPr>
              <w:t>16 323,0</w:t>
            </w:r>
          </w:p>
        </w:tc>
        <w:tc>
          <w:tcPr>
            <w:tcW w:w="524" w:type="pct"/>
            <w:tcBorders>
              <w:top w:val="nil"/>
              <w:left w:val="nil"/>
              <w:bottom w:val="single" w:sz="4" w:space="0" w:color="auto"/>
              <w:right w:val="single" w:sz="4" w:space="0" w:color="auto"/>
            </w:tcBorders>
            <w:shd w:val="clear" w:color="000000" w:fill="FFFFFF"/>
            <w:vAlign w:val="center"/>
            <w:hideMark/>
          </w:tcPr>
          <w:p w14:paraId="5B05C07A" w14:textId="7D7B93ED" w:rsidR="005B19B0" w:rsidRPr="005B19B0" w:rsidRDefault="005B19B0" w:rsidP="005B19B0">
            <w:pPr>
              <w:ind w:firstLine="0"/>
              <w:jc w:val="center"/>
              <w:rPr>
                <w:sz w:val="20"/>
                <w:lang w:eastAsia="lt-LT"/>
              </w:rPr>
            </w:pPr>
            <w:r w:rsidRPr="005B19B0">
              <w:rPr>
                <w:sz w:val="20"/>
                <w:lang w:eastAsia="lt-LT"/>
              </w:rPr>
              <w:t>17,8</w:t>
            </w:r>
          </w:p>
        </w:tc>
        <w:tc>
          <w:tcPr>
            <w:tcW w:w="452" w:type="pct"/>
            <w:tcBorders>
              <w:top w:val="nil"/>
              <w:left w:val="nil"/>
              <w:bottom w:val="single" w:sz="4" w:space="0" w:color="auto"/>
              <w:right w:val="single" w:sz="4" w:space="0" w:color="auto"/>
            </w:tcBorders>
            <w:shd w:val="clear" w:color="000000" w:fill="FFFFFF"/>
            <w:vAlign w:val="center"/>
            <w:hideMark/>
          </w:tcPr>
          <w:p w14:paraId="06B5DFFE" w14:textId="77777777" w:rsidR="005B19B0" w:rsidRPr="005B19B0" w:rsidRDefault="005B19B0" w:rsidP="005B19B0">
            <w:pPr>
              <w:ind w:firstLine="0"/>
              <w:jc w:val="center"/>
              <w:rPr>
                <w:sz w:val="20"/>
                <w:lang w:eastAsia="lt-LT"/>
              </w:rPr>
            </w:pPr>
            <w:r w:rsidRPr="005B19B0">
              <w:rPr>
                <w:sz w:val="20"/>
                <w:lang w:eastAsia="lt-LT"/>
              </w:rPr>
              <w:t>2469,0</w:t>
            </w:r>
          </w:p>
        </w:tc>
      </w:tr>
      <w:tr w:rsidR="00B23D27" w:rsidRPr="005B19B0" w14:paraId="2FAC1B34" w14:textId="77777777" w:rsidTr="00BC6AC2">
        <w:trPr>
          <w:trHeight w:val="33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E38653C" w14:textId="77777777" w:rsidR="005B19B0" w:rsidRPr="005B19B0" w:rsidRDefault="005B19B0" w:rsidP="005B19B0">
            <w:pPr>
              <w:ind w:firstLine="0"/>
              <w:jc w:val="left"/>
              <w:rPr>
                <w:b/>
                <w:bCs/>
                <w:sz w:val="20"/>
                <w:lang w:eastAsia="lt-LT"/>
              </w:rPr>
            </w:pPr>
            <w:r w:rsidRPr="005B19B0">
              <w:rPr>
                <w:b/>
                <w:bCs/>
                <w:sz w:val="20"/>
                <w:lang w:eastAsia="lt-LT"/>
              </w:rPr>
              <w:t xml:space="preserve">iš jų: </w:t>
            </w:r>
            <w:r w:rsidRPr="005B19B0">
              <w:rPr>
                <w:sz w:val="20"/>
                <w:lang w:eastAsia="lt-LT"/>
              </w:rPr>
              <w:t>1) GPM savivaldybių biudžetams</w:t>
            </w:r>
          </w:p>
        </w:tc>
        <w:tc>
          <w:tcPr>
            <w:tcW w:w="704" w:type="pct"/>
            <w:tcBorders>
              <w:top w:val="nil"/>
              <w:left w:val="nil"/>
              <w:bottom w:val="single" w:sz="4" w:space="0" w:color="auto"/>
              <w:right w:val="single" w:sz="4" w:space="0" w:color="auto"/>
            </w:tcBorders>
            <w:shd w:val="clear" w:color="000000" w:fill="FFFFFF"/>
            <w:vAlign w:val="center"/>
            <w:hideMark/>
          </w:tcPr>
          <w:p w14:paraId="04909886" w14:textId="77777777" w:rsidR="005B19B0" w:rsidRPr="005B19B0" w:rsidRDefault="005B19B0" w:rsidP="005B19B0">
            <w:pPr>
              <w:ind w:firstLine="0"/>
              <w:jc w:val="center"/>
              <w:rPr>
                <w:sz w:val="20"/>
                <w:lang w:eastAsia="lt-LT"/>
              </w:rPr>
            </w:pPr>
            <w:r w:rsidRPr="005B19B0">
              <w:rPr>
                <w:sz w:val="20"/>
                <w:lang w:eastAsia="lt-LT"/>
              </w:rPr>
              <w:t>13 106,0</w:t>
            </w:r>
          </w:p>
        </w:tc>
        <w:tc>
          <w:tcPr>
            <w:tcW w:w="699" w:type="pct"/>
            <w:tcBorders>
              <w:top w:val="nil"/>
              <w:left w:val="nil"/>
              <w:bottom w:val="single" w:sz="4" w:space="0" w:color="auto"/>
              <w:right w:val="single" w:sz="4" w:space="0" w:color="auto"/>
            </w:tcBorders>
            <w:shd w:val="clear" w:color="000000" w:fill="FFFFFF"/>
            <w:vAlign w:val="center"/>
            <w:hideMark/>
          </w:tcPr>
          <w:p w14:paraId="3A380B8C" w14:textId="77777777" w:rsidR="005B19B0" w:rsidRPr="005B19B0" w:rsidRDefault="005B19B0" w:rsidP="005B19B0">
            <w:pPr>
              <w:ind w:firstLine="0"/>
              <w:jc w:val="center"/>
              <w:rPr>
                <w:sz w:val="20"/>
                <w:lang w:eastAsia="lt-LT"/>
              </w:rPr>
            </w:pPr>
            <w:r w:rsidRPr="005B19B0">
              <w:rPr>
                <w:sz w:val="20"/>
                <w:lang w:eastAsia="lt-LT"/>
              </w:rPr>
              <w:t>15 341,0</w:t>
            </w:r>
          </w:p>
        </w:tc>
        <w:tc>
          <w:tcPr>
            <w:tcW w:w="524" w:type="pct"/>
            <w:tcBorders>
              <w:top w:val="nil"/>
              <w:left w:val="nil"/>
              <w:bottom w:val="single" w:sz="4" w:space="0" w:color="auto"/>
              <w:right w:val="single" w:sz="4" w:space="0" w:color="auto"/>
            </w:tcBorders>
            <w:shd w:val="clear" w:color="auto" w:fill="auto"/>
            <w:vAlign w:val="center"/>
            <w:hideMark/>
          </w:tcPr>
          <w:p w14:paraId="131FBC8C" w14:textId="08E6E7C8" w:rsidR="005B19B0" w:rsidRPr="005B19B0" w:rsidRDefault="005B19B0" w:rsidP="005B19B0">
            <w:pPr>
              <w:ind w:firstLine="0"/>
              <w:jc w:val="center"/>
              <w:rPr>
                <w:sz w:val="20"/>
                <w:lang w:eastAsia="lt-LT"/>
              </w:rPr>
            </w:pPr>
            <w:r w:rsidRPr="005B19B0">
              <w:rPr>
                <w:sz w:val="20"/>
                <w:lang w:eastAsia="lt-LT"/>
              </w:rPr>
              <w:t>17,1</w:t>
            </w:r>
          </w:p>
        </w:tc>
        <w:tc>
          <w:tcPr>
            <w:tcW w:w="452" w:type="pct"/>
            <w:tcBorders>
              <w:top w:val="nil"/>
              <w:left w:val="nil"/>
              <w:bottom w:val="single" w:sz="4" w:space="0" w:color="auto"/>
              <w:right w:val="single" w:sz="4" w:space="0" w:color="auto"/>
            </w:tcBorders>
            <w:shd w:val="clear" w:color="auto" w:fill="auto"/>
            <w:vAlign w:val="center"/>
            <w:hideMark/>
          </w:tcPr>
          <w:p w14:paraId="439113A9" w14:textId="77777777" w:rsidR="005B19B0" w:rsidRPr="005B19B0" w:rsidRDefault="005B19B0" w:rsidP="005B19B0">
            <w:pPr>
              <w:ind w:firstLine="0"/>
              <w:jc w:val="center"/>
              <w:rPr>
                <w:sz w:val="20"/>
                <w:lang w:eastAsia="lt-LT"/>
              </w:rPr>
            </w:pPr>
            <w:r w:rsidRPr="005B19B0">
              <w:rPr>
                <w:sz w:val="20"/>
                <w:lang w:eastAsia="lt-LT"/>
              </w:rPr>
              <w:t>2235,0</w:t>
            </w:r>
          </w:p>
        </w:tc>
      </w:tr>
      <w:tr w:rsidR="00B23D27" w:rsidRPr="005B19B0" w14:paraId="346030F3" w14:textId="77777777" w:rsidTr="00BC6AC2">
        <w:trPr>
          <w:trHeight w:val="51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789C6770" w14:textId="7E68ADA7" w:rsidR="005B19B0" w:rsidRPr="005B19B0" w:rsidRDefault="005B19B0" w:rsidP="005B19B0">
            <w:pPr>
              <w:ind w:firstLine="0"/>
              <w:jc w:val="left"/>
              <w:rPr>
                <w:sz w:val="20"/>
                <w:lang w:eastAsia="lt-LT"/>
              </w:rPr>
            </w:pPr>
            <w:r w:rsidRPr="005B19B0">
              <w:rPr>
                <w:sz w:val="20"/>
                <w:lang w:eastAsia="lt-LT"/>
              </w:rPr>
              <w:t xml:space="preserve">          2)  fiksuoto dydžio GPM mokamas už pajamas, gautas iš veiklos pagal ver</w:t>
            </w:r>
            <w:r w:rsidR="00E07742">
              <w:rPr>
                <w:sz w:val="20"/>
                <w:lang w:eastAsia="lt-LT"/>
              </w:rPr>
              <w:t>s</w:t>
            </w:r>
            <w:r w:rsidRPr="005B19B0">
              <w:rPr>
                <w:sz w:val="20"/>
                <w:lang w:eastAsia="lt-LT"/>
              </w:rPr>
              <w:t>lo liudijimus</w:t>
            </w:r>
          </w:p>
        </w:tc>
        <w:tc>
          <w:tcPr>
            <w:tcW w:w="704" w:type="pct"/>
            <w:tcBorders>
              <w:top w:val="nil"/>
              <w:left w:val="nil"/>
              <w:bottom w:val="single" w:sz="4" w:space="0" w:color="auto"/>
              <w:right w:val="single" w:sz="4" w:space="0" w:color="auto"/>
            </w:tcBorders>
            <w:shd w:val="clear" w:color="000000" w:fill="FFFFFF"/>
            <w:vAlign w:val="center"/>
            <w:hideMark/>
          </w:tcPr>
          <w:p w14:paraId="233933D1" w14:textId="77777777" w:rsidR="005B19B0" w:rsidRPr="005B19B0" w:rsidRDefault="005B19B0" w:rsidP="005B19B0">
            <w:pPr>
              <w:ind w:firstLine="0"/>
              <w:jc w:val="center"/>
              <w:rPr>
                <w:sz w:val="20"/>
                <w:lang w:eastAsia="lt-LT"/>
              </w:rPr>
            </w:pPr>
            <w:r w:rsidRPr="005B19B0">
              <w:rPr>
                <w:sz w:val="20"/>
                <w:lang w:eastAsia="lt-LT"/>
              </w:rPr>
              <w:t>0,0</w:t>
            </w:r>
          </w:p>
        </w:tc>
        <w:tc>
          <w:tcPr>
            <w:tcW w:w="699" w:type="pct"/>
            <w:tcBorders>
              <w:top w:val="nil"/>
              <w:left w:val="nil"/>
              <w:bottom w:val="single" w:sz="4" w:space="0" w:color="auto"/>
              <w:right w:val="single" w:sz="4" w:space="0" w:color="auto"/>
            </w:tcBorders>
            <w:shd w:val="clear" w:color="000000" w:fill="FFFFFF"/>
            <w:vAlign w:val="center"/>
            <w:hideMark/>
          </w:tcPr>
          <w:p w14:paraId="6485A3C7" w14:textId="77777777" w:rsidR="005B19B0" w:rsidRPr="005B19B0" w:rsidRDefault="005B19B0" w:rsidP="005B19B0">
            <w:pPr>
              <w:ind w:firstLine="0"/>
              <w:jc w:val="center"/>
              <w:rPr>
                <w:sz w:val="20"/>
                <w:lang w:eastAsia="lt-LT"/>
              </w:rPr>
            </w:pPr>
            <w:r w:rsidRPr="005B19B0">
              <w:rPr>
                <w:sz w:val="20"/>
                <w:lang w:eastAsia="lt-LT"/>
              </w:rPr>
              <w:t>20,0</w:t>
            </w:r>
          </w:p>
        </w:tc>
        <w:tc>
          <w:tcPr>
            <w:tcW w:w="524" w:type="pct"/>
            <w:tcBorders>
              <w:top w:val="nil"/>
              <w:left w:val="nil"/>
              <w:bottom w:val="single" w:sz="4" w:space="0" w:color="auto"/>
              <w:right w:val="single" w:sz="4" w:space="0" w:color="auto"/>
            </w:tcBorders>
            <w:shd w:val="clear" w:color="auto" w:fill="auto"/>
            <w:vAlign w:val="center"/>
            <w:hideMark/>
          </w:tcPr>
          <w:p w14:paraId="75E8F4BD" w14:textId="77777777" w:rsidR="005B19B0" w:rsidRPr="005B19B0" w:rsidRDefault="005B19B0" w:rsidP="005B19B0">
            <w:pPr>
              <w:ind w:firstLine="0"/>
              <w:jc w:val="center"/>
              <w:rPr>
                <w:sz w:val="20"/>
                <w:lang w:eastAsia="lt-LT"/>
              </w:rPr>
            </w:pPr>
            <w:r w:rsidRPr="005B19B0">
              <w:rPr>
                <w:sz w:val="20"/>
                <w:lang w:eastAsia="lt-LT"/>
              </w:rPr>
              <w:t>#DIV/0!</w:t>
            </w:r>
          </w:p>
        </w:tc>
        <w:tc>
          <w:tcPr>
            <w:tcW w:w="452" w:type="pct"/>
            <w:tcBorders>
              <w:top w:val="nil"/>
              <w:left w:val="nil"/>
              <w:bottom w:val="single" w:sz="4" w:space="0" w:color="auto"/>
              <w:right w:val="single" w:sz="4" w:space="0" w:color="auto"/>
            </w:tcBorders>
            <w:shd w:val="clear" w:color="auto" w:fill="auto"/>
            <w:vAlign w:val="center"/>
            <w:hideMark/>
          </w:tcPr>
          <w:p w14:paraId="0501E2A3" w14:textId="77777777" w:rsidR="005B19B0" w:rsidRPr="005B19B0" w:rsidRDefault="005B19B0" w:rsidP="005B19B0">
            <w:pPr>
              <w:ind w:firstLine="0"/>
              <w:jc w:val="center"/>
              <w:rPr>
                <w:sz w:val="20"/>
                <w:lang w:eastAsia="lt-LT"/>
              </w:rPr>
            </w:pPr>
            <w:r w:rsidRPr="005B19B0">
              <w:rPr>
                <w:sz w:val="20"/>
                <w:lang w:eastAsia="lt-LT"/>
              </w:rPr>
              <w:t>20,0</w:t>
            </w:r>
          </w:p>
        </w:tc>
      </w:tr>
      <w:tr w:rsidR="00B23D27" w:rsidRPr="005B19B0" w14:paraId="0253FF75"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942BAC8" w14:textId="77777777" w:rsidR="005B19B0" w:rsidRPr="005B19B0" w:rsidRDefault="005B19B0" w:rsidP="005B19B0">
            <w:pPr>
              <w:ind w:firstLine="0"/>
              <w:jc w:val="left"/>
              <w:rPr>
                <w:sz w:val="20"/>
                <w:lang w:eastAsia="lt-LT"/>
              </w:rPr>
            </w:pPr>
            <w:r w:rsidRPr="005B19B0">
              <w:rPr>
                <w:sz w:val="20"/>
                <w:lang w:eastAsia="lt-LT"/>
              </w:rPr>
              <w:t xml:space="preserve">          3)  nekilnojamojo turto mokestis</w:t>
            </w:r>
          </w:p>
        </w:tc>
        <w:tc>
          <w:tcPr>
            <w:tcW w:w="704" w:type="pct"/>
            <w:tcBorders>
              <w:top w:val="nil"/>
              <w:left w:val="nil"/>
              <w:bottom w:val="single" w:sz="4" w:space="0" w:color="auto"/>
              <w:right w:val="single" w:sz="4" w:space="0" w:color="auto"/>
            </w:tcBorders>
            <w:shd w:val="clear" w:color="000000" w:fill="FFFFFF"/>
            <w:vAlign w:val="center"/>
            <w:hideMark/>
          </w:tcPr>
          <w:p w14:paraId="40048910" w14:textId="77777777" w:rsidR="005B19B0" w:rsidRPr="005B19B0" w:rsidRDefault="005B19B0" w:rsidP="005B19B0">
            <w:pPr>
              <w:ind w:firstLine="0"/>
              <w:jc w:val="center"/>
              <w:rPr>
                <w:sz w:val="20"/>
                <w:lang w:eastAsia="lt-LT"/>
              </w:rPr>
            </w:pPr>
            <w:r w:rsidRPr="005B19B0">
              <w:rPr>
                <w:sz w:val="20"/>
                <w:lang w:eastAsia="lt-LT"/>
              </w:rPr>
              <w:t>270,0</w:t>
            </w:r>
          </w:p>
        </w:tc>
        <w:tc>
          <w:tcPr>
            <w:tcW w:w="699" w:type="pct"/>
            <w:tcBorders>
              <w:top w:val="nil"/>
              <w:left w:val="nil"/>
              <w:bottom w:val="single" w:sz="4" w:space="0" w:color="auto"/>
              <w:right w:val="single" w:sz="4" w:space="0" w:color="auto"/>
            </w:tcBorders>
            <w:shd w:val="clear" w:color="000000" w:fill="FFFFFF"/>
            <w:vAlign w:val="center"/>
            <w:hideMark/>
          </w:tcPr>
          <w:p w14:paraId="090AEEB4" w14:textId="77777777" w:rsidR="005B19B0" w:rsidRPr="005B19B0" w:rsidRDefault="005B19B0" w:rsidP="005B19B0">
            <w:pPr>
              <w:ind w:firstLine="0"/>
              <w:jc w:val="center"/>
              <w:rPr>
                <w:sz w:val="20"/>
                <w:lang w:eastAsia="lt-LT"/>
              </w:rPr>
            </w:pPr>
            <w:r w:rsidRPr="005B19B0">
              <w:rPr>
                <w:sz w:val="20"/>
                <w:lang w:eastAsia="lt-LT"/>
              </w:rPr>
              <w:t>300,0</w:t>
            </w:r>
          </w:p>
        </w:tc>
        <w:tc>
          <w:tcPr>
            <w:tcW w:w="524" w:type="pct"/>
            <w:tcBorders>
              <w:top w:val="nil"/>
              <w:left w:val="nil"/>
              <w:bottom w:val="single" w:sz="4" w:space="0" w:color="auto"/>
              <w:right w:val="single" w:sz="4" w:space="0" w:color="auto"/>
            </w:tcBorders>
            <w:shd w:val="clear" w:color="auto" w:fill="auto"/>
            <w:vAlign w:val="center"/>
            <w:hideMark/>
          </w:tcPr>
          <w:p w14:paraId="0374123C" w14:textId="1D56A0BA" w:rsidR="005B19B0" w:rsidRPr="005B19B0" w:rsidRDefault="005B19B0" w:rsidP="005B19B0">
            <w:pPr>
              <w:ind w:firstLine="0"/>
              <w:jc w:val="center"/>
              <w:rPr>
                <w:sz w:val="20"/>
                <w:lang w:eastAsia="lt-LT"/>
              </w:rPr>
            </w:pPr>
            <w:r w:rsidRPr="005B19B0">
              <w:rPr>
                <w:sz w:val="20"/>
                <w:lang w:eastAsia="lt-LT"/>
              </w:rPr>
              <w:t>11,1</w:t>
            </w:r>
          </w:p>
        </w:tc>
        <w:tc>
          <w:tcPr>
            <w:tcW w:w="452" w:type="pct"/>
            <w:tcBorders>
              <w:top w:val="nil"/>
              <w:left w:val="nil"/>
              <w:bottom w:val="single" w:sz="4" w:space="0" w:color="auto"/>
              <w:right w:val="single" w:sz="4" w:space="0" w:color="auto"/>
            </w:tcBorders>
            <w:shd w:val="clear" w:color="auto" w:fill="auto"/>
            <w:vAlign w:val="center"/>
            <w:hideMark/>
          </w:tcPr>
          <w:p w14:paraId="16EC4D09" w14:textId="77777777" w:rsidR="005B19B0" w:rsidRPr="005B19B0" w:rsidRDefault="005B19B0" w:rsidP="005B19B0">
            <w:pPr>
              <w:ind w:firstLine="0"/>
              <w:jc w:val="center"/>
              <w:rPr>
                <w:sz w:val="20"/>
                <w:lang w:eastAsia="lt-LT"/>
              </w:rPr>
            </w:pPr>
            <w:r w:rsidRPr="005B19B0">
              <w:rPr>
                <w:sz w:val="20"/>
                <w:lang w:eastAsia="lt-LT"/>
              </w:rPr>
              <w:t>30,0</w:t>
            </w:r>
          </w:p>
        </w:tc>
      </w:tr>
      <w:tr w:rsidR="00B23D27" w:rsidRPr="005B19B0" w14:paraId="6CA2E92C" w14:textId="77777777" w:rsidTr="00BC6AC2">
        <w:trPr>
          <w:trHeight w:val="25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B7BCCEB" w14:textId="77777777" w:rsidR="005B19B0" w:rsidRPr="005B19B0" w:rsidRDefault="005B19B0" w:rsidP="005B19B0">
            <w:pPr>
              <w:ind w:firstLine="0"/>
              <w:jc w:val="left"/>
              <w:rPr>
                <w:sz w:val="20"/>
                <w:lang w:eastAsia="lt-LT"/>
              </w:rPr>
            </w:pPr>
            <w:r w:rsidRPr="005B19B0">
              <w:rPr>
                <w:sz w:val="20"/>
                <w:lang w:eastAsia="lt-LT"/>
              </w:rPr>
              <w:t xml:space="preserve">          4) žemės mokestis</w:t>
            </w:r>
          </w:p>
        </w:tc>
        <w:tc>
          <w:tcPr>
            <w:tcW w:w="704" w:type="pct"/>
            <w:tcBorders>
              <w:top w:val="nil"/>
              <w:left w:val="nil"/>
              <w:bottom w:val="single" w:sz="4" w:space="0" w:color="auto"/>
              <w:right w:val="single" w:sz="4" w:space="0" w:color="auto"/>
            </w:tcBorders>
            <w:shd w:val="clear" w:color="000000" w:fill="FFFFFF"/>
            <w:vAlign w:val="center"/>
            <w:hideMark/>
          </w:tcPr>
          <w:p w14:paraId="07715407" w14:textId="77777777" w:rsidR="005B19B0" w:rsidRPr="005B19B0" w:rsidRDefault="005B19B0" w:rsidP="005B19B0">
            <w:pPr>
              <w:ind w:firstLine="0"/>
              <w:jc w:val="center"/>
              <w:rPr>
                <w:sz w:val="20"/>
                <w:lang w:eastAsia="lt-LT"/>
              </w:rPr>
            </w:pPr>
            <w:r w:rsidRPr="005B19B0">
              <w:rPr>
                <w:sz w:val="20"/>
                <w:lang w:eastAsia="lt-LT"/>
              </w:rPr>
              <w:t>350,0</w:t>
            </w:r>
          </w:p>
        </w:tc>
        <w:tc>
          <w:tcPr>
            <w:tcW w:w="699" w:type="pct"/>
            <w:tcBorders>
              <w:top w:val="nil"/>
              <w:left w:val="nil"/>
              <w:bottom w:val="single" w:sz="4" w:space="0" w:color="auto"/>
              <w:right w:val="single" w:sz="4" w:space="0" w:color="auto"/>
            </w:tcBorders>
            <w:shd w:val="clear" w:color="000000" w:fill="FFFFFF"/>
            <w:vAlign w:val="center"/>
            <w:hideMark/>
          </w:tcPr>
          <w:p w14:paraId="21B1564E" w14:textId="77777777" w:rsidR="005B19B0" w:rsidRPr="005B19B0" w:rsidRDefault="005B19B0" w:rsidP="005B19B0">
            <w:pPr>
              <w:ind w:firstLine="0"/>
              <w:jc w:val="center"/>
              <w:rPr>
                <w:sz w:val="20"/>
                <w:lang w:eastAsia="lt-LT"/>
              </w:rPr>
            </w:pPr>
            <w:r w:rsidRPr="005B19B0">
              <w:rPr>
                <w:sz w:val="20"/>
                <w:lang w:eastAsia="lt-LT"/>
              </w:rPr>
              <w:t>450,0</w:t>
            </w:r>
          </w:p>
        </w:tc>
        <w:tc>
          <w:tcPr>
            <w:tcW w:w="524" w:type="pct"/>
            <w:tcBorders>
              <w:top w:val="nil"/>
              <w:left w:val="nil"/>
              <w:bottom w:val="single" w:sz="4" w:space="0" w:color="auto"/>
              <w:right w:val="single" w:sz="4" w:space="0" w:color="auto"/>
            </w:tcBorders>
            <w:shd w:val="clear" w:color="auto" w:fill="auto"/>
            <w:vAlign w:val="center"/>
            <w:hideMark/>
          </w:tcPr>
          <w:p w14:paraId="2B48A5EF" w14:textId="1F60B479" w:rsidR="005B19B0" w:rsidRPr="005B19B0" w:rsidRDefault="005B19B0" w:rsidP="005B19B0">
            <w:pPr>
              <w:ind w:firstLine="0"/>
              <w:jc w:val="center"/>
              <w:rPr>
                <w:sz w:val="20"/>
                <w:lang w:eastAsia="lt-LT"/>
              </w:rPr>
            </w:pPr>
            <w:r w:rsidRPr="005B19B0">
              <w:rPr>
                <w:sz w:val="20"/>
                <w:lang w:eastAsia="lt-LT"/>
              </w:rPr>
              <w:t>28,6</w:t>
            </w:r>
          </w:p>
        </w:tc>
        <w:tc>
          <w:tcPr>
            <w:tcW w:w="452" w:type="pct"/>
            <w:tcBorders>
              <w:top w:val="nil"/>
              <w:left w:val="nil"/>
              <w:bottom w:val="single" w:sz="4" w:space="0" w:color="auto"/>
              <w:right w:val="single" w:sz="4" w:space="0" w:color="auto"/>
            </w:tcBorders>
            <w:shd w:val="clear" w:color="auto" w:fill="auto"/>
            <w:vAlign w:val="center"/>
            <w:hideMark/>
          </w:tcPr>
          <w:p w14:paraId="1D129320" w14:textId="77777777" w:rsidR="005B19B0" w:rsidRPr="005B19B0" w:rsidRDefault="005B19B0" w:rsidP="005B19B0">
            <w:pPr>
              <w:ind w:firstLine="0"/>
              <w:jc w:val="center"/>
              <w:rPr>
                <w:sz w:val="20"/>
                <w:lang w:eastAsia="lt-LT"/>
              </w:rPr>
            </w:pPr>
            <w:r w:rsidRPr="005B19B0">
              <w:rPr>
                <w:sz w:val="20"/>
                <w:lang w:eastAsia="lt-LT"/>
              </w:rPr>
              <w:t>100,0</w:t>
            </w:r>
          </w:p>
        </w:tc>
      </w:tr>
      <w:tr w:rsidR="00B23D27" w:rsidRPr="005B19B0" w14:paraId="23263E7D"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40D81FD1" w14:textId="23DC626F" w:rsidR="005B19B0" w:rsidRPr="005B19B0" w:rsidRDefault="005B19B0" w:rsidP="005B19B0">
            <w:pPr>
              <w:ind w:firstLine="0"/>
              <w:jc w:val="left"/>
              <w:rPr>
                <w:sz w:val="20"/>
                <w:lang w:eastAsia="lt-LT"/>
              </w:rPr>
            </w:pPr>
            <w:r w:rsidRPr="005B19B0">
              <w:rPr>
                <w:sz w:val="20"/>
                <w:lang w:eastAsia="lt-LT"/>
              </w:rPr>
              <w:t xml:space="preserve">          5) valst</w:t>
            </w:r>
            <w:r w:rsidR="00E07742">
              <w:rPr>
                <w:sz w:val="20"/>
                <w:lang w:eastAsia="lt-LT"/>
              </w:rPr>
              <w:t>ybinės</w:t>
            </w:r>
            <w:r w:rsidRPr="005B19B0">
              <w:rPr>
                <w:sz w:val="20"/>
                <w:lang w:eastAsia="lt-LT"/>
              </w:rPr>
              <w:t xml:space="preserve"> žemės nuomos mokestis</w:t>
            </w:r>
          </w:p>
        </w:tc>
        <w:tc>
          <w:tcPr>
            <w:tcW w:w="704" w:type="pct"/>
            <w:tcBorders>
              <w:top w:val="nil"/>
              <w:left w:val="nil"/>
              <w:bottom w:val="single" w:sz="4" w:space="0" w:color="auto"/>
              <w:right w:val="single" w:sz="4" w:space="0" w:color="auto"/>
            </w:tcBorders>
            <w:shd w:val="clear" w:color="000000" w:fill="FFFFFF"/>
            <w:vAlign w:val="center"/>
            <w:hideMark/>
          </w:tcPr>
          <w:p w14:paraId="3E495EE1" w14:textId="77777777" w:rsidR="005B19B0" w:rsidRPr="005B19B0" w:rsidRDefault="005B19B0" w:rsidP="005B19B0">
            <w:pPr>
              <w:ind w:firstLine="0"/>
              <w:jc w:val="center"/>
              <w:rPr>
                <w:sz w:val="20"/>
                <w:lang w:eastAsia="lt-LT"/>
              </w:rPr>
            </w:pPr>
            <w:r w:rsidRPr="005B19B0">
              <w:rPr>
                <w:sz w:val="20"/>
                <w:lang w:eastAsia="lt-LT"/>
              </w:rPr>
              <w:t>90,0</w:t>
            </w:r>
          </w:p>
        </w:tc>
        <w:tc>
          <w:tcPr>
            <w:tcW w:w="699" w:type="pct"/>
            <w:tcBorders>
              <w:top w:val="nil"/>
              <w:left w:val="nil"/>
              <w:bottom w:val="single" w:sz="4" w:space="0" w:color="auto"/>
              <w:right w:val="single" w:sz="4" w:space="0" w:color="auto"/>
            </w:tcBorders>
            <w:shd w:val="clear" w:color="000000" w:fill="FFFFFF"/>
            <w:vAlign w:val="center"/>
            <w:hideMark/>
          </w:tcPr>
          <w:p w14:paraId="1FC9C24B" w14:textId="77777777" w:rsidR="005B19B0" w:rsidRPr="005B19B0" w:rsidRDefault="005B19B0" w:rsidP="005B19B0">
            <w:pPr>
              <w:ind w:firstLine="0"/>
              <w:jc w:val="center"/>
              <w:rPr>
                <w:sz w:val="20"/>
                <w:lang w:eastAsia="lt-LT"/>
              </w:rPr>
            </w:pPr>
            <w:r w:rsidRPr="005B19B0">
              <w:rPr>
                <w:sz w:val="20"/>
                <w:lang w:eastAsia="lt-LT"/>
              </w:rPr>
              <w:t>150,0</w:t>
            </w:r>
          </w:p>
        </w:tc>
        <w:tc>
          <w:tcPr>
            <w:tcW w:w="524" w:type="pct"/>
            <w:tcBorders>
              <w:top w:val="nil"/>
              <w:left w:val="nil"/>
              <w:bottom w:val="single" w:sz="4" w:space="0" w:color="auto"/>
              <w:right w:val="single" w:sz="4" w:space="0" w:color="auto"/>
            </w:tcBorders>
            <w:shd w:val="clear" w:color="auto" w:fill="auto"/>
            <w:vAlign w:val="center"/>
            <w:hideMark/>
          </w:tcPr>
          <w:p w14:paraId="1A2F87F2" w14:textId="5BF84293" w:rsidR="005B19B0" w:rsidRPr="005B19B0" w:rsidRDefault="005B19B0" w:rsidP="005B19B0">
            <w:pPr>
              <w:ind w:firstLine="0"/>
              <w:jc w:val="center"/>
              <w:rPr>
                <w:sz w:val="20"/>
                <w:lang w:eastAsia="lt-LT"/>
              </w:rPr>
            </w:pPr>
            <w:r w:rsidRPr="005B19B0">
              <w:rPr>
                <w:sz w:val="20"/>
                <w:lang w:eastAsia="lt-LT"/>
              </w:rPr>
              <w:t>66,7</w:t>
            </w:r>
          </w:p>
        </w:tc>
        <w:tc>
          <w:tcPr>
            <w:tcW w:w="452" w:type="pct"/>
            <w:tcBorders>
              <w:top w:val="nil"/>
              <w:left w:val="nil"/>
              <w:bottom w:val="single" w:sz="4" w:space="0" w:color="auto"/>
              <w:right w:val="single" w:sz="4" w:space="0" w:color="auto"/>
            </w:tcBorders>
            <w:shd w:val="clear" w:color="auto" w:fill="auto"/>
            <w:vAlign w:val="center"/>
            <w:hideMark/>
          </w:tcPr>
          <w:p w14:paraId="2C7F1A71" w14:textId="77777777" w:rsidR="005B19B0" w:rsidRPr="005B19B0" w:rsidRDefault="005B19B0" w:rsidP="005B19B0">
            <w:pPr>
              <w:ind w:firstLine="0"/>
              <w:jc w:val="center"/>
              <w:rPr>
                <w:sz w:val="20"/>
                <w:lang w:eastAsia="lt-LT"/>
              </w:rPr>
            </w:pPr>
            <w:r w:rsidRPr="005B19B0">
              <w:rPr>
                <w:sz w:val="20"/>
                <w:lang w:eastAsia="lt-LT"/>
              </w:rPr>
              <w:t>60,0</w:t>
            </w:r>
          </w:p>
        </w:tc>
      </w:tr>
      <w:tr w:rsidR="00B23D27" w:rsidRPr="005B19B0" w14:paraId="06C00FEE" w14:textId="77777777" w:rsidTr="00BC6AC2">
        <w:trPr>
          <w:trHeight w:val="25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0D38084C" w14:textId="77777777" w:rsidR="005B19B0" w:rsidRPr="005B19B0" w:rsidRDefault="005B19B0" w:rsidP="005B19B0">
            <w:pPr>
              <w:ind w:firstLine="0"/>
              <w:jc w:val="left"/>
              <w:rPr>
                <w:sz w:val="20"/>
                <w:lang w:eastAsia="lt-LT"/>
              </w:rPr>
            </w:pPr>
            <w:r w:rsidRPr="005B19B0">
              <w:rPr>
                <w:sz w:val="20"/>
                <w:lang w:eastAsia="lt-LT"/>
              </w:rPr>
              <w:t xml:space="preserve">          6) paveldimo turto mokestis</w:t>
            </w:r>
          </w:p>
        </w:tc>
        <w:tc>
          <w:tcPr>
            <w:tcW w:w="704" w:type="pct"/>
            <w:tcBorders>
              <w:top w:val="nil"/>
              <w:left w:val="nil"/>
              <w:bottom w:val="single" w:sz="4" w:space="0" w:color="auto"/>
              <w:right w:val="single" w:sz="4" w:space="0" w:color="auto"/>
            </w:tcBorders>
            <w:shd w:val="clear" w:color="000000" w:fill="FFFFFF"/>
            <w:vAlign w:val="center"/>
            <w:hideMark/>
          </w:tcPr>
          <w:p w14:paraId="39A2F8A4" w14:textId="77777777" w:rsidR="005B19B0" w:rsidRPr="005B19B0" w:rsidRDefault="005B19B0" w:rsidP="005B19B0">
            <w:pPr>
              <w:ind w:firstLine="0"/>
              <w:jc w:val="center"/>
              <w:rPr>
                <w:sz w:val="20"/>
                <w:lang w:eastAsia="lt-LT"/>
              </w:rPr>
            </w:pPr>
            <w:r w:rsidRPr="005B19B0">
              <w:rPr>
                <w:sz w:val="20"/>
                <w:lang w:eastAsia="lt-LT"/>
              </w:rPr>
              <w:t>5,0</w:t>
            </w:r>
          </w:p>
        </w:tc>
        <w:tc>
          <w:tcPr>
            <w:tcW w:w="699" w:type="pct"/>
            <w:tcBorders>
              <w:top w:val="nil"/>
              <w:left w:val="nil"/>
              <w:bottom w:val="single" w:sz="4" w:space="0" w:color="auto"/>
              <w:right w:val="single" w:sz="4" w:space="0" w:color="auto"/>
            </w:tcBorders>
            <w:shd w:val="clear" w:color="000000" w:fill="FFFFFF"/>
            <w:vAlign w:val="center"/>
            <w:hideMark/>
          </w:tcPr>
          <w:p w14:paraId="3C298BC9" w14:textId="77777777" w:rsidR="005B19B0" w:rsidRPr="005B19B0" w:rsidRDefault="005B19B0" w:rsidP="005B19B0">
            <w:pPr>
              <w:ind w:firstLine="0"/>
              <w:jc w:val="center"/>
              <w:rPr>
                <w:sz w:val="20"/>
                <w:lang w:eastAsia="lt-LT"/>
              </w:rPr>
            </w:pPr>
            <w:r w:rsidRPr="005B19B0">
              <w:rPr>
                <w:sz w:val="20"/>
                <w:lang w:eastAsia="lt-LT"/>
              </w:rPr>
              <w:t>10,0</w:t>
            </w:r>
          </w:p>
        </w:tc>
        <w:tc>
          <w:tcPr>
            <w:tcW w:w="524" w:type="pct"/>
            <w:tcBorders>
              <w:top w:val="nil"/>
              <w:left w:val="nil"/>
              <w:bottom w:val="single" w:sz="4" w:space="0" w:color="auto"/>
              <w:right w:val="single" w:sz="4" w:space="0" w:color="auto"/>
            </w:tcBorders>
            <w:shd w:val="clear" w:color="auto" w:fill="auto"/>
            <w:vAlign w:val="center"/>
            <w:hideMark/>
          </w:tcPr>
          <w:p w14:paraId="20E4808D" w14:textId="5E1ED937" w:rsidR="005B19B0" w:rsidRPr="005B19B0" w:rsidRDefault="005B19B0" w:rsidP="005B19B0">
            <w:pPr>
              <w:ind w:firstLine="0"/>
              <w:jc w:val="center"/>
              <w:rPr>
                <w:sz w:val="20"/>
                <w:lang w:eastAsia="lt-LT"/>
              </w:rPr>
            </w:pPr>
            <w:r w:rsidRPr="005B19B0">
              <w:rPr>
                <w:sz w:val="20"/>
                <w:lang w:eastAsia="lt-LT"/>
              </w:rPr>
              <w:t>100,0</w:t>
            </w:r>
          </w:p>
        </w:tc>
        <w:tc>
          <w:tcPr>
            <w:tcW w:w="452" w:type="pct"/>
            <w:tcBorders>
              <w:top w:val="nil"/>
              <w:left w:val="nil"/>
              <w:bottom w:val="single" w:sz="4" w:space="0" w:color="auto"/>
              <w:right w:val="single" w:sz="4" w:space="0" w:color="auto"/>
            </w:tcBorders>
            <w:shd w:val="clear" w:color="auto" w:fill="auto"/>
            <w:vAlign w:val="center"/>
            <w:hideMark/>
          </w:tcPr>
          <w:p w14:paraId="79247597" w14:textId="77777777" w:rsidR="005B19B0" w:rsidRPr="005B19B0" w:rsidRDefault="005B19B0" w:rsidP="005B19B0">
            <w:pPr>
              <w:ind w:firstLine="0"/>
              <w:jc w:val="center"/>
              <w:rPr>
                <w:sz w:val="20"/>
                <w:lang w:eastAsia="lt-LT"/>
              </w:rPr>
            </w:pPr>
            <w:r w:rsidRPr="005B19B0">
              <w:rPr>
                <w:sz w:val="20"/>
                <w:lang w:eastAsia="lt-LT"/>
              </w:rPr>
              <w:t>5,0</w:t>
            </w:r>
          </w:p>
        </w:tc>
      </w:tr>
      <w:tr w:rsidR="00B23D27" w:rsidRPr="005B19B0" w14:paraId="731C9320" w14:textId="77777777" w:rsidTr="00BC6AC2">
        <w:trPr>
          <w:trHeight w:val="25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112FCA7F" w14:textId="77777777" w:rsidR="005B19B0" w:rsidRPr="005B19B0" w:rsidRDefault="005B19B0" w:rsidP="005B19B0">
            <w:pPr>
              <w:ind w:firstLine="0"/>
              <w:jc w:val="left"/>
              <w:rPr>
                <w:sz w:val="20"/>
                <w:lang w:eastAsia="lt-LT"/>
              </w:rPr>
            </w:pPr>
            <w:r w:rsidRPr="005B19B0">
              <w:rPr>
                <w:sz w:val="20"/>
                <w:lang w:eastAsia="lt-LT"/>
              </w:rPr>
              <w:t xml:space="preserve">          7) valstybės rinkliavos</w:t>
            </w:r>
          </w:p>
        </w:tc>
        <w:tc>
          <w:tcPr>
            <w:tcW w:w="704" w:type="pct"/>
            <w:tcBorders>
              <w:top w:val="nil"/>
              <w:left w:val="nil"/>
              <w:bottom w:val="single" w:sz="4" w:space="0" w:color="auto"/>
              <w:right w:val="single" w:sz="4" w:space="0" w:color="auto"/>
            </w:tcBorders>
            <w:shd w:val="clear" w:color="000000" w:fill="FFFFFF"/>
            <w:vAlign w:val="center"/>
            <w:hideMark/>
          </w:tcPr>
          <w:p w14:paraId="717823FB" w14:textId="77777777" w:rsidR="005B19B0" w:rsidRPr="005B19B0" w:rsidRDefault="005B19B0" w:rsidP="005B19B0">
            <w:pPr>
              <w:ind w:firstLine="0"/>
              <w:jc w:val="center"/>
              <w:rPr>
                <w:sz w:val="20"/>
                <w:lang w:eastAsia="lt-LT"/>
              </w:rPr>
            </w:pPr>
            <w:r w:rsidRPr="005B19B0">
              <w:rPr>
                <w:sz w:val="20"/>
                <w:lang w:eastAsia="lt-LT"/>
              </w:rPr>
              <w:t>13,0</w:t>
            </w:r>
          </w:p>
        </w:tc>
        <w:tc>
          <w:tcPr>
            <w:tcW w:w="699" w:type="pct"/>
            <w:tcBorders>
              <w:top w:val="nil"/>
              <w:left w:val="nil"/>
              <w:bottom w:val="single" w:sz="4" w:space="0" w:color="auto"/>
              <w:right w:val="single" w:sz="4" w:space="0" w:color="auto"/>
            </w:tcBorders>
            <w:shd w:val="clear" w:color="000000" w:fill="FFFFFF"/>
            <w:vAlign w:val="center"/>
            <w:hideMark/>
          </w:tcPr>
          <w:p w14:paraId="290936B7" w14:textId="77777777" w:rsidR="005B19B0" w:rsidRPr="005B19B0" w:rsidRDefault="005B19B0" w:rsidP="005B19B0">
            <w:pPr>
              <w:ind w:firstLine="0"/>
              <w:jc w:val="center"/>
              <w:rPr>
                <w:sz w:val="20"/>
                <w:lang w:eastAsia="lt-LT"/>
              </w:rPr>
            </w:pPr>
            <w:r w:rsidRPr="005B19B0">
              <w:rPr>
                <w:sz w:val="20"/>
                <w:lang w:eastAsia="lt-LT"/>
              </w:rPr>
              <w:t>32,0</w:t>
            </w:r>
          </w:p>
        </w:tc>
        <w:tc>
          <w:tcPr>
            <w:tcW w:w="524" w:type="pct"/>
            <w:tcBorders>
              <w:top w:val="nil"/>
              <w:left w:val="nil"/>
              <w:bottom w:val="single" w:sz="4" w:space="0" w:color="auto"/>
              <w:right w:val="single" w:sz="4" w:space="0" w:color="auto"/>
            </w:tcBorders>
            <w:shd w:val="clear" w:color="auto" w:fill="auto"/>
            <w:vAlign w:val="center"/>
            <w:hideMark/>
          </w:tcPr>
          <w:p w14:paraId="6184DEEC" w14:textId="60800EAF" w:rsidR="005B19B0" w:rsidRPr="005B19B0" w:rsidRDefault="005B19B0" w:rsidP="005B19B0">
            <w:pPr>
              <w:ind w:firstLine="0"/>
              <w:jc w:val="center"/>
              <w:rPr>
                <w:sz w:val="20"/>
                <w:lang w:eastAsia="lt-LT"/>
              </w:rPr>
            </w:pPr>
            <w:r w:rsidRPr="005B19B0">
              <w:rPr>
                <w:sz w:val="20"/>
                <w:lang w:eastAsia="lt-LT"/>
              </w:rPr>
              <w:t>146,2</w:t>
            </w:r>
          </w:p>
        </w:tc>
        <w:tc>
          <w:tcPr>
            <w:tcW w:w="452" w:type="pct"/>
            <w:tcBorders>
              <w:top w:val="nil"/>
              <w:left w:val="nil"/>
              <w:bottom w:val="single" w:sz="4" w:space="0" w:color="auto"/>
              <w:right w:val="single" w:sz="4" w:space="0" w:color="auto"/>
            </w:tcBorders>
            <w:shd w:val="clear" w:color="auto" w:fill="auto"/>
            <w:vAlign w:val="center"/>
            <w:hideMark/>
          </w:tcPr>
          <w:p w14:paraId="4168F8C6" w14:textId="77777777" w:rsidR="005B19B0" w:rsidRPr="005B19B0" w:rsidRDefault="005B19B0" w:rsidP="005B19B0">
            <w:pPr>
              <w:ind w:firstLine="0"/>
              <w:jc w:val="center"/>
              <w:rPr>
                <w:sz w:val="20"/>
                <w:lang w:eastAsia="lt-LT"/>
              </w:rPr>
            </w:pPr>
            <w:r w:rsidRPr="005B19B0">
              <w:rPr>
                <w:sz w:val="20"/>
                <w:lang w:eastAsia="lt-LT"/>
              </w:rPr>
              <w:t>19,0</w:t>
            </w:r>
          </w:p>
        </w:tc>
      </w:tr>
      <w:tr w:rsidR="00B23D27" w:rsidRPr="005B19B0" w14:paraId="57A4EA8D" w14:textId="77777777" w:rsidTr="00BC6AC2">
        <w:trPr>
          <w:trHeight w:val="25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2A45329B" w14:textId="77777777" w:rsidR="005B19B0" w:rsidRPr="005B19B0" w:rsidRDefault="005B19B0" w:rsidP="005B19B0">
            <w:pPr>
              <w:ind w:firstLine="0"/>
              <w:jc w:val="left"/>
              <w:rPr>
                <w:sz w:val="20"/>
                <w:lang w:eastAsia="lt-LT"/>
              </w:rPr>
            </w:pPr>
            <w:r w:rsidRPr="005B19B0">
              <w:rPr>
                <w:sz w:val="20"/>
                <w:lang w:eastAsia="lt-LT"/>
              </w:rPr>
              <w:t xml:space="preserve">          8) pajamos iš baudų ir konfiskacijos</w:t>
            </w:r>
          </w:p>
        </w:tc>
        <w:tc>
          <w:tcPr>
            <w:tcW w:w="704" w:type="pct"/>
            <w:tcBorders>
              <w:top w:val="nil"/>
              <w:left w:val="nil"/>
              <w:bottom w:val="single" w:sz="4" w:space="0" w:color="auto"/>
              <w:right w:val="single" w:sz="4" w:space="0" w:color="auto"/>
            </w:tcBorders>
            <w:shd w:val="clear" w:color="000000" w:fill="FFFFFF"/>
            <w:vAlign w:val="center"/>
            <w:hideMark/>
          </w:tcPr>
          <w:p w14:paraId="3BB32113" w14:textId="77777777" w:rsidR="005B19B0" w:rsidRPr="005B19B0" w:rsidRDefault="005B19B0" w:rsidP="005B19B0">
            <w:pPr>
              <w:ind w:firstLine="0"/>
              <w:jc w:val="center"/>
              <w:rPr>
                <w:sz w:val="20"/>
                <w:lang w:eastAsia="lt-LT"/>
              </w:rPr>
            </w:pPr>
            <w:r w:rsidRPr="005B19B0">
              <w:rPr>
                <w:sz w:val="20"/>
                <w:lang w:eastAsia="lt-LT"/>
              </w:rPr>
              <w:t>10,0</w:t>
            </w:r>
          </w:p>
        </w:tc>
        <w:tc>
          <w:tcPr>
            <w:tcW w:w="699" w:type="pct"/>
            <w:tcBorders>
              <w:top w:val="nil"/>
              <w:left w:val="nil"/>
              <w:bottom w:val="single" w:sz="4" w:space="0" w:color="auto"/>
              <w:right w:val="single" w:sz="4" w:space="0" w:color="auto"/>
            </w:tcBorders>
            <w:shd w:val="clear" w:color="000000" w:fill="FFFFFF"/>
            <w:vAlign w:val="center"/>
            <w:hideMark/>
          </w:tcPr>
          <w:p w14:paraId="6208BBA7" w14:textId="77777777" w:rsidR="005B19B0" w:rsidRPr="005B19B0" w:rsidRDefault="005B19B0" w:rsidP="005B19B0">
            <w:pPr>
              <w:ind w:firstLine="0"/>
              <w:jc w:val="center"/>
              <w:rPr>
                <w:sz w:val="20"/>
                <w:lang w:eastAsia="lt-LT"/>
              </w:rPr>
            </w:pPr>
            <w:r w:rsidRPr="005B19B0">
              <w:rPr>
                <w:sz w:val="20"/>
                <w:lang w:eastAsia="lt-LT"/>
              </w:rPr>
              <w:t>10,0</w:t>
            </w:r>
          </w:p>
        </w:tc>
        <w:tc>
          <w:tcPr>
            <w:tcW w:w="524" w:type="pct"/>
            <w:tcBorders>
              <w:top w:val="nil"/>
              <w:left w:val="nil"/>
              <w:bottom w:val="single" w:sz="4" w:space="0" w:color="auto"/>
              <w:right w:val="single" w:sz="4" w:space="0" w:color="auto"/>
            </w:tcBorders>
            <w:shd w:val="clear" w:color="auto" w:fill="auto"/>
            <w:vAlign w:val="center"/>
            <w:hideMark/>
          </w:tcPr>
          <w:p w14:paraId="0413E923" w14:textId="2BC04B82" w:rsidR="005B19B0" w:rsidRPr="005B19B0" w:rsidRDefault="005B19B0" w:rsidP="005B19B0">
            <w:pPr>
              <w:ind w:firstLine="0"/>
              <w:jc w:val="center"/>
              <w:rPr>
                <w:sz w:val="20"/>
                <w:lang w:eastAsia="lt-LT"/>
              </w:rPr>
            </w:pPr>
            <w:r w:rsidRPr="005B19B0">
              <w:rPr>
                <w:sz w:val="20"/>
                <w:lang w:eastAsia="lt-LT"/>
              </w:rPr>
              <w:t>0,0</w:t>
            </w:r>
          </w:p>
        </w:tc>
        <w:tc>
          <w:tcPr>
            <w:tcW w:w="452" w:type="pct"/>
            <w:tcBorders>
              <w:top w:val="nil"/>
              <w:left w:val="nil"/>
              <w:bottom w:val="single" w:sz="4" w:space="0" w:color="auto"/>
              <w:right w:val="single" w:sz="4" w:space="0" w:color="auto"/>
            </w:tcBorders>
            <w:shd w:val="clear" w:color="auto" w:fill="auto"/>
            <w:vAlign w:val="center"/>
            <w:hideMark/>
          </w:tcPr>
          <w:p w14:paraId="0AE393AC" w14:textId="77777777" w:rsidR="005B19B0" w:rsidRPr="005B19B0" w:rsidRDefault="005B19B0" w:rsidP="005B19B0">
            <w:pPr>
              <w:ind w:firstLine="0"/>
              <w:jc w:val="center"/>
              <w:rPr>
                <w:sz w:val="20"/>
                <w:lang w:eastAsia="lt-LT"/>
              </w:rPr>
            </w:pPr>
            <w:r w:rsidRPr="005B19B0">
              <w:rPr>
                <w:sz w:val="20"/>
                <w:lang w:eastAsia="lt-LT"/>
              </w:rPr>
              <w:t>0,0</w:t>
            </w:r>
          </w:p>
        </w:tc>
      </w:tr>
      <w:tr w:rsidR="00B23D27" w:rsidRPr="005B19B0" w14:paraId="272F4452" w14:textId="77777777" w:rsidTr="00BC6AC2">
        <w:trPr>
          <w:trHeight w:val="25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CC6FE7C" w14:textId="77777777" w:rsidR="005B19B0" w:rsidRPr="005B19B0" w:rsidRDefault="005B19B0" w:rsidP="005B19B0">
            <w:pPr>
              <w:ind w:firstLine="0"/>
              <w:jc w:val="left"/>
              <w:rPr>
                <w:sz w:val="20"/>
                <w:lang w:eastAsia="lt-LT"/>
              </w:rPr>
            </w:pPr>
            <w:r w:rsidRPr="005B19B0">
              <w:rPr>
                <w:sz w:val="20"/>
                <w:lang w:eastAsia="lt-LT"/>
              </w:rPr>
              <w:t xml:space="preserve">          9) kitos  pajamos</w:t>
            </w:r>
          </w:p>
        </w:tc>
        <w:tc>
          <w:tcPr>
            <w:tcW w:w="704" w:type="pct"/>
            <w:tcBorders>
              <w:top w:val="nil"/>
              <w:left w:val="nil"/>
              <w:bottom w:val="single" w:sz="4" w:space="0" w:color="auto"/>
              <w:right w:val="single" w:sz="4" w:space="0" w:color="auto"/>
            </w:tcBorders>
            <w:shd w:val="clear" w:color="000000" w:fill="FFFFFF"/>
            <w:vAlign w:val="center"/>
            <w:hideMark/>
          </w:tcPr>
          <w:p w14:paraId="291DBE07" w14:textId="77777777" w:rsidR="005B19B0" w:rsidRPr="005B19B0" w:rsidRDefault="005B19B0" w:rsidP="005B19B0">
            <w:pPr>
              <w:ind w:firstLine="0"/>
              <w:jc w:val="center"/>
              <w:rPr>
                <w:sz w:val="20"/>
                <w:lang w:eastAsia="lt-LT"/>
              </w:rPr>
            </w:pPr>
            <w:r w:rsidRPr="005B19B0">
              <w:rPr>
                <w:sz w:val="20"/>
                <w:lang w:eastAsia="lt-LT"/>
              </w:rPr>
              <w:t>10,0</w:t>
            </w:r>
          </w:p>
        </w:tc>
        <w:tc>
          <w:tcPr>
            <w:tcW w:w="699" w:type="pct"/>
            <w:tcBorders>
              <w:top w:val="nil"/>
              <w:left w:val="nil"/>
              <w:bottom w:val="single" w:sz="4" w:space="0" w:color="auto"/>
              <w:right w:val="single" w:sz="4" w:space="0" w:color="auto"/>
            </w:tcBorders>
            <w:shd w:val="clear" w:color="000000" w:fill="FFFFFF"/>
            <w:vAlign w:val="center"/>
            <w:hideMark/>
          </w:tcPr>
          <w:p w14:paraId="750FEA6E" w14:textId="77777777" w:rsidR="005B19B0" w:rsidRPr="005B19B0" w:rsidRDefault="005B19B0" w:rsidP="005B19B0">
            <w:pPr>
              <w:ind w:firstLine="0"/>
              <w:jc w:val="center"/>
              <w:rPr>
                <w:sz w:val="20"/>
                <w:lang w:eastAsia="lt-LT"/>
              </w:rPr>
            </w:pPr>
            <w:r w:rsidRPr="005B19B0">
              <w:rPr>
                <w:sz w:val="20"/>
                <w:lang w:eastAsia="lt-LT"/>
              </w:rPr>
              <w:t>10,0</w:t>
            </w:r>
          </w:p>
        </w:tc>
        <w:tc>
          <w:tcPr>
            <w:tcW w:w="524" w:type="pct"/>
            <w:tcBorders>
              <w:top w:val="nil"/>
              <w:left w:val="nil"/>
              <w:bottom w:val="single" w:sz="4" w:space="0" w:color="auto"/>
              <w:right w:val="single" w:sz="4" w:space="0" w:color="auto"/>
            </w:tcBorders>
            <w:shd w:val="clear" w:color="auto" w:fill="auto"/>
            <w:vAlign w:val="center"/>
            <w:hideMark/>
          </w:tcPr>
          <w:p w14:paraId="7EA180A2" w14:textId="0B1D7E57" w:rsidR="005B19B0" w:rsidRPr="005B19B0" w:rsidRDefault="005B19B0" w:rsidP="005B19B0">
            <w:pPr>
              <w:ind w:firstLine="0"/>
              <w:jc w:val="center"/>
              <w:rPr>
                <w:sz w:val="20"/>
                <w:lang w:eastAsia="lt-LT"/>
              </w:rPr>
            </w:pPr>
            <w:r w:rsidRPr="005B19B0">
              <w:rPr>
                <w:sz w:val="20"/>
                <w:lang w:eastAsia="lt-LT"/>
              </w:rPr>
              <w:t>0,0</w:t>
            </w:r>
          </w:p>
        </w:tc>
        <w:tc>
          <w:tcPr>
            <w:tcW w:w="452" w:type="pct"/>
            <w:tcBorders>
              <w:top w:val="nil"/>
              <w:left w:val="nil"/>
              <w:bottom w:val="single" w:sz="4" w:space="0" w:color="auto"/>
              <w:right w:val="single" w:sz="4" w:space="0" w:color="auto"/>
            </w:tcBorders>
            <w:shd w:val="clear" w:color="auto" w:fill="auto"/>
            <w:vAlign w:val="center"/>
            <w:hideMark/>
          </w:tcPr>
          <w:p w14:paraId="14D0BEAA" w14:textId="77777777" w:rsidR="005B19B0" w:rsidRPr="005B19B0" w:rsidRDefault="005B19B0" w:rsidP="005B19B0">
            <w:pPr>
              <w:ind w:firstLine="0"/>
              <w:jc w:val="center"/>
              <w:rPr>
                <w:sz w:val="20"/>
                <w:lang w:eastAsia="lt-LT"/>
              </w:rPr>
            </w:pPr>
            <w:r w:rsidRPr="005B19B0">
              <w:rPr>
                <w:sz w:val="20"/>
                <w:lang w:eastAsia="lt-LT"/>
              </w:rPr>
              <w:t>0,0</w:t>
            </w:r>
          </w:p>
        </w:tc>
      </w:tr>
      <w:tr w:rsidR="00B23D27" w:rsidRPr="005B19B0" w14:paraId="65B9CC31" w14:textId="77777777" w:rsidTr="00BC6AC2">
        <w:trPr>
          <w:trHeight w:val="792"/>
        </w:trPr>
        <w:tc>
          <w:tcPr>
            <w:tcW w:w="2621" w:type="pct"/>
            <w:tcBorders>
              <w:top w:val="nil"/>
              <w:left w:val="single" w:sz="4" w:space="0" w:color="auto"/>
              <w:bottom w:val="single" w:sz="4" w:space="0" w:color="auto"/>
              <w:right w:val="single" w:sz="4" w:space="0" w:color="auto"/>
            </w:tcBorders>
            <w:shd w:val="clear" w:color="auto" w:fill="FFFF99"/>
            <w:vAlign w:val="center"/>
            <w:hideMark/>
          </w:tcPr>
          <w:p w14:paraId="5B5CB8FB" w14:textId="277827BD" w:rsidR="005B19B0" w:rsidRPr="005B19B0" w:rsidRDefault="005B19B0" w:rsidP="005B19B0">
            <w:pPr>
              <w:ind w:firstLine="0"/>
              <w:jc w:val="left"/>
              <w:rPr>
                <w:b/>
                <w:bCs/>
                <w:sz w:val="24"/>
                <w:szCs w:val="24"/>
                <w:lang w:eastAsia="lt-LT"/>
              </w:rPr>
            </w:pPr>
            <w:r w:rsidRPr="005B19B0">
              <w:rPr>
                <w:b/>
                <w:bCs/>
                <w:sz w:val="24"/>
                <w:szCs w:val="24"/>
                <w:lang w:eastAsia="lt-LT"/>
              </w:rPr>
              <w:t>Savivaldybės pajamų šaltiniai savarankiškoms funkcijoms (1)</w:t>
            </w:r>
          </w:p>
        </w:tc>
        <w:tc>
          <w:tcPr>
            <w:tcW w:w="704" w:type="pct"/>
            <w:tcBorders>
              <w:top w:val="nil"/>
              <w:left w:val="nil"/>
              <w:bottom w:val="single" w:sz="4" w:space="0" w:color="auto"/>
              <w:right w:val="single" w:sz="4" w:space="0" w:color="auto"/>
            </w:tcBorders>
            <w:shd w:val="clear" w:color="auto" w:fill="FFFF99"/>
            <w:noWrap/>
            <w:vAlign w:val="center"/>
            <w:hideMark/>
          </w:tcPr>
          <w:p w14:paraId="0F31620F" w14:textId="77777777" w:rsidR="005B19B0" w:rsidRPr="005B19B0" w:rsidRDefault="005B19B0" w:rsidP="005B19B0">
            <w:pPr>
              <w:ind w:firstLine="0"/>
              <w:jc w:val="center"/>
              <w:rPr>
                <w:b/>
                <w:bCs/>
                <w:sz w:val="22"/>
                <w:szCs w:val="22"/>
                <w:lang w:eastAsia="lt-LT"/>
              </w:rPr>
            </w:pPr>
            <w:r w:rsidRPr="005B19B0">
              <w:rPr>
                <w:b/>
                <w:bCs/>
                <w:sz w:val="22"/>
                <w:szCs w:val="22"/>
                <w:lang w:eastAsia="lt-LT"/>
              </w:rPr>
              <w:t>13 854,0</w:t>
            </w:r>
          </w:p>
        </w:tc>
        <w:tc>
          <w:tcPr>
            <w:tcW w:w="699" w:type="pct"/>
            <w:tcBorders>
              <w:top w:val="nil"/>
              <w:left w:val="nil"/>
              <w:bottom w:val="single" w:sz="4" w:space="0" w:color="auto"/>
              <w:right w:val="single" w:sz="4" w:space="0" w:color="auto"/>
            </w:tcBorders>
            <w:shd w:val="clear" w:color="auto" w:fill="FFFF99"/>
            <w:noWrap/>
            <w:vAlign w:val="center"/>
            <w:hideMark/>
          </w:tcPr>
          <w:p w14:paraId="748B8A00" w14:textId="77777777" w:rsidR="005B19B0" w:rsidRPr="005B19B0" w:rsidRDefault="005B19B0" w:rsidP="005B19B0">
            <w:pPr>
              <w:ind w:firstLine="0"/>
              <w:jc w:val="center"/>
              <w:rPr>
                <w:b/>
                <w:bCs/>
                <w:sz w:val="22"/>
                <w:szCs w:val="22"/>
                <w:lang w:eastAsia="lt-LT"/>
              </w:rPr>
            </w:pPr>
            <w:r w:rsidRPr="005B19B0">
              <w:rPr>
                <w:b/>
                <w:bCs/>
                <w:sz w:val="22"/>
                <w:szCs w:val="22"/>
                <w:lang w:eastAsia="lt-LT"/>
              </w:rPr>
              <w:t>16 323,0</w:t>
            </w:r>
          </w:p>
        </w:tc>
        <w:tc>
          <w:tcPr>
            <w:tcW w:w="524" w:type="pct"/>
            <w:tcBorders>
              <w:top w:val="nil"/>
              <w:left w:val="nil"/>
              <w:bottom w:val="single" w:sz="4" w:space="0" w:color="auto"/>
              <w:right w:val="single" w:sz="4" w:space="0" w:color="auto"/>
            </w:tcBorders>
            <w:shd w:val="clear" w:color="auto" w:fill="FFFF99"/>
            <w:vAlign w:val="center"/>
            <w:hideMark/>
          </w:tcPr>
          <w:p w14:paraId="283A16D1" w14:textId="77777777" w:rsidR="005B19B0" w:rsidRPr="005B19B0" w:rsidRDefault="005B19B0" w:rsidP="005B19B0">
            <w:pPr>
              <w:ind w:firstLine="0"/>
              <w:jc w:val="center"/>
              <w:rPr>
                <w:b/>
                <w:bCs/>
                <w:sz w:val="22"/>
                <w:szCs w:val="22"/>
                <w:lang w:eastAsia="lt-LT"/>
              </w:rPr>
            </w:pPr>
            <w:r w:rsidRPr="005B19B0">
              <w:rPr>
                <w:b/>
                <w:bCs/>
                <w:sz w:val="22"/>
                <w:szCs w:val="22"/>
                <w:lang w:eastAsia="lt-LT"/>
              </w:rPr>
              <w:t>17,8%</w:t>
            </w:r>
          </w:p>
        </w:tc>
        <w:tc>
          <w:tcPr>
            <w:tcW w:w="452" w:type="pct"/>
            <w:tcBorders>
              <w:top w:val="nil"/>
              <w:left w:val="nil"/>
              <w:bottom w:val="single" w:sz="4" w:space="0" w:color="auto"/>
              <w:right w:val="single" w:sz="4" w:space="0" w:color="auto"/>
            </w:tcBorders>
            <w:shd w:val="clear" w:color="auto" w:fill="FFFF99"/>
            <w:vAlign w:val="center"/>
            <w:hideMark/>
          </w:tcPr>
          <w:p w14:paraId="578A0A4B" w14:textId="77777777" w:rsidR="005B19B0" w:rsidRPr="005B19B0" w:rsidRDefault="005B19B0" w:rsidP="005B19B0">
            <w:pPr>
              <w:ind w:firstLine="0"/>
              <w:jc w:val="center"/>
              <w:rPr>
                <w:b/>
                <w:bCs/>
                <w:sz w:val="22"/>
                <w:szCs w:val="22"/>
                <w:lang w:eastAsia="lt-LT"/>
              </w:rPr>
            </w:pPr>
            <w:r w:rsidRPr="005B19B0">
              <w:rPr>
                <w:b/>
                <w:bCs/>
                <w:sz w:val="22"/>
                <w:szCs w:val="22"/>
                <w:lang w:eastAsia="lt-LT"/>
              </w:rPr>
              <w:t>2469,0</w:t>
            </w:r>
          </w:p>
        </w:tc>
      </w:tr>
      <w:tr w:rsidR="00B23D27" w:rsidRPr="005B19B0" w14:paraId="4B7162C8" w14:textId="77777777" w:rsidTr="00BC6AC2">
        <w:trPr>
          <w:trHeight w:val="61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23DB51B0" w14:textId="77777777" w:rsidR="005B19B0" w:rsidRPr="005B19B0" w:rsidRDefault="005B19B0" w:rsidP="005B19B0">
            <w:pPr>
              <w:ind w:firstLine="0"/>
              <w:jc w:val="left"/>
              <w:rPr>
                <w:b/>
                <w:bCs/>
                <w:sz w:val="22"/>
                <w:szCs w:val="22"/>
                <w:lang w:eastAsia="lt-LT"/>
              </w:rPr>
            </w:pPr>
            <w:r w:rsidRPr="005B19B0">
              <w:rPr>
                <w:b/>
                <w:bCs/>
                <w:sz w:val="22"/>
                <w:szCs w:val="22"/>
                <w:lang w:eastAsia="lt-LT"/>
              </w:rPr>
              <w:t>2. Planuojama valstybės biudžeto speciali tikslinė dotacija:</w:t>
            </w:r>
          </w:p>
        </w:tc>
        <w:tc>
          <w:tcPr>
            <w:tcW w:w="704" w:type="pct"/>
            <w:tcBorders>
              <w:top w:val="nil"/>
              <w:left w:val="nil"/>
              <w:bottom w:val="single" w:sz="4" w:space="0" w:color="auto"/>
              <w:right w:val="single" w:sz="4" w:space="0" w:color="auto"/>
            </w:tcBorders>
            <w:shd w:val="clear" w:color="000000" w:fill="FFFFFF"/>
            <w:vAlign w:val="center"/>
            <w:hideMark/>
          </w:tcPr>
          <w:p w14:paraId="2FD99745" w14:textId="77777777" w:rsidR="005B19B0" w:rsidRPr="005B19B0" w:rsidRDefault="005B19B0" w:rsidP="005B19B0">
            <w:pPr>
              <w:ind w:firstLine="0"/>
              <w:jc w:val="center"/>
              <w:rPr>
                <w:b/>
                <w:bCs/>
                <w:sz w:val="22"/>
                <w:szCs w:val="22"/>
                <w:lang w:eastAsia="lt-LT"/>
              </w:rPr>
            </w:pPr>
            <w:r w:rsidRPr="005B19B0">
              <w:rPr>
                <w:b/>
                <w:bCs/>
                <w:sz w:val="22"/>
                <w:szCs w:val="22"/>
                <w:lang w:eastAsia="lt-LT"/>
              </w:rPr>
              <w:t>8 962,2</w:t>
            </w:r>
          </w:p>
        </w:tc>
        <w:tc>
          <w:tcPr>
            <w:tcW w:w="699" w:type="pct"/>
            <w:tcBorders>
              <w:top w:val="nil"/>
              <w:left w:val="nil"/>
              <w:bottom w:val="single" w:sz="4" w:space="0" w:color="auto"/>
              <w:right w:val="single" w:sz="4" w:space="0" w:color="auto"/>
            </w:tcBorders>
            <w:shd w:val="clear" w:color="000000" w:fill="FFFFFF"/>
            <w:vAlign w:val="center"/>
            <w:hideMark/>
          </w:tcPr>
          <w:p w14:paraId="498CECBC" w14:textId="77777777" w:rsidR="005B19B0" w:rsidRPr="005B19B0" w:rsidRDefault="005B19B0" w:rsidP="005B19B0">
            <w:pPr>
              <w:ind w:firstLine="0"/>
              <w:jc w:val="center"/>
              <w:rPr>
                <w:b/>
                <w:bCs/>
                <w:sz w:val="22"/>
                <w:szCs w:val="22"/>
                <w:lang w:eastAsia="lt-LT"/>
              </w:rPr>
            </w:pPr>
            <w:r w:rsidRPr="005B19B0">
              <w:rPr>
                <w:b/>
                <w:bCs/>
                <w:sz w:val="22"/>
                <w:szCs w:val="22"/>
                <w:lang w:eastAsia="lt-LT"/>
              </w:rPr>
              <w:t>9 179,6</w:t>
            </w:r>
          </w:p>
        </w:tc>
        <w:tc>
          <w:tcPr>
            <w:tcW w:w="524" w:type="pct"/>
            <w:tcBorders>
              <w:top w:val="nil"/>
              <w:left w:val="nil"/>
              <w:bottom w:val="single" w:sz="4" w:space="0" w:color="auto"/>
              <w:right w:val="single" w:sz="4" w:space="0" w:color="auto"/>
            </w:tcBorders>
            <w:shd w:val="clear" w:color="auto" w:fill="auto"/>
            <w:vAlign w:val="center"/>
            <w:hideMark/>
          </w:tcPr>
          <w:p w14:paraId="3E62CAC1" w14:textId="77777777" w:rsidR="005B19B0" w:rsidRPr="005B19B0" w:rsidRDefault="005B19B0" w:rsidP="005B19B0">
            <w:pPr>
              <w:ind w:firstLine="0"/>
              <w:jc w:val="center"/>
              <w:rPr>
                <w:b/>
                <w:bCs/>
                <w:sz w:val="22"/>
                <w:szCs w:val="22"/>
                <w:lang w:eastAsia="lt-LT"/>
              </w:rPr>
            </w:pPr>
            <w:r w:rsidRPr="005B19B0">
              <w:rPr>
                <w:b/>
                <w:bCs/>
                <w:sz w:val="22"/>
                <w:szCs w:val="22"/>
                <w:lang w:eastAsia="lt-LT"/>
              </w:rPr>
              <w:t>2,4%</w:t>
            </w:r>
          </w:p>
        </w:tc>
        <w:tc>
          <w:tcPr>
            <w:tcW w:w="452" w:type="pct"/>
            <w:tcBorders>
              <w:top w:val="nil"/>
              <w:left w:val="nil"/>
              <w:bottom w:val="single" w:sz="4" w:space="0" w:color="auto"/>
              <w:right w:val="single" w:sz="4" w:space="0" w:color="auto"/>
            </w:tcBorders>
            <w:shd w:val="clear" w:color="auto" w:fill="auto"/>
            <w:vAlign w:val="center"/>
            <w:hideMark/>
          </w:tcPr>
          <w:p w14:paraId="6F091B83" w14:textId="77777777" w:rsidR="005B19B0" w:rsidRPr="005B19B0" w:rsidRDefault="005B19B0" w:rsidP="005B19B0">
            <w:pPr>
              <w:ind w:firstLine="0"/>
              <w:jc w:val="center"/>
              <w:rPr>
                <w:b/>
                <w:bCs/>
                <w:sz w:val="22"/>
                <w:szCs w:val="22"/>
                <w:lang w:eastAsia="lt-LT"/>
              </w:rPr>
            </w:pPr>
            <w:r w:rsidRPr="005B19B0">
              <w:rPr>
                <w:b/>
                <w:bCs/>
                <w:sz w:val="22"/>
                <w:szCs w:val="22"/>
                <w:lang w:eastAsia="lt-LT"/>
              </w:rPr>
              <w:t>217,4</w:t>
            </w:r>
          </w:p>
        </w:tc>
      </w:tr>
      <w:tr w:rsidR="00B23D27" w:rsidRPr="005B19B0" w14:paraId="2ADAB62E"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57E7659A" w14:textId="71394D01" w:rsidR="005B19B0" w:rsidRPr="005B19B0" w:rsidRDefault="005B19B0" w:rsidP="005B19B0">
            <w:pPr>
              <w:ind w:firstLine="0"/>
              <w:jc w:val="left"/>
              <w:rPr>
                <w:sz w:val="20"/>
                <w:lang w:eastAsia="lt-LT"/>
              </w:rPr>
            </w:pPr>
            <w:r w:rsidRPr="005B19B0">
              <w:rPr>
                <w:sz w:val="20"/>
                <w:lang w:eastAsia="lt-LT"/>
              </w:rPr>
              <w:t xml:space="preserve">    4.1. valstybės </w:t>
            </w:r>
            <w:r w:rsidR="006F79E4">
              <w:rPr>
                <w:sz w:val="20"/>
                <w:lang w:eastAsia="lt-LT"/>
              </w:rPr>
              <w:t>perduotoms</w:t>
            </w:r>
            <w:r w:rsidRPr="005B19B0">
              <w:rPr>
                <w:sz w:val="20"/>
                <w:lang w:eastAsia="lt-LT"/>
              </w:rPr>
              <w:t xml:space="preserve"> funkcijoms finansuoti</w:t>
            </w:r>
          </w:p>
        </w:tc>
        <w:tc>
          <w:tcPr>
            <w:tcW w:w="704" w:type="pct"/>
            <w:tcBorders>
              <w:top w:val="nil"/>
              <w:left w:val="nil"/>
              <w:bottom w:val="single" w:sz="4" w:space="0" w:color="auto"/>
              <w:right w:val="single" w:sz="4" w:space="0" w:color="auto"/>
            </w:tcBorders>
            <w:shd w:val="clear" w:color="000000" w:fill="FFFFFF"/>
            <w:vAlign w:val="center"/>
            <w:hideMark/>
          </w:tcPr>
          <w:p w14:paraId="6331A1B4" w14:textId="77777777" w:rsidR="005B19B0" w:rsidRPr="005B19B0" w:rsidRDefault="005B19B0" w:rsidP="005B19B0">
            <w:pPr>
              <w:ind w:firstLine="0"/>
              <w:jc w:val="center"/>
              <w:rPr>
                <w:sz w:val="22"/>
                <w:szCs w:val="22"/>
                <w:lang w:eastAsia="lt-LT"/>
              </w:rPr>
            </w:pPr>
            <w:r w:rsidRPr="005B19B0">
              <w:rPr>
                <w:sz w:val="22"/>
                <w:szCs w:val="22"/>
                <w:lang w:eastAsia="lt-LT"/>
              </w:rPr>
              <w:t>2 836,6</w:t>
            </w:r>
          </w:p>
        </w:tc>
        <w:tc>
          <w:tcPr>
            <w:tcW w:w="699" w:type="pct"/>
            <w:tcBorders>
              <w:top w:val="nil"/>
              <w:left w:val="nil"/>
              <w:bottom w:val="single" w:sz="4" w:space="0" w:color="auto"/>
              <w:right w:val="single" w:sz="4" w:space="0" w:color="auto"/>
            </w:tcBorders>
            <w:shd w:val="clear" w:color="000000" w:fill="FFFFFF"/>
            <w:vAlign w:val="center"/>
            <w:hideMark/>
          </w:tcPr>
          <w:p w14:paraId="021571A7" w14:textId="77777777" w:rsidR="005B19B0" w:rsidRPr="005B19B0" w:rsidRDefault="005B19B0" w:rsidP="005B19B0">
            <w:pPr>
              <w:ind w:firstLine="0"/>
              <w:jc w:val="center"/>
              <w:rPr>
                <w:sz w:val="22"/>
                <w:szCs w:val="22"/>
                <w:lang w:eastAsia="lt-LT"/>
              </w:rPr>
            </w:pPr>
            <w:r w:rsidRPr="005B19B0">
              <w:rPr>
                <w:sz w:val="22"/>
                <w:szCs w:val="22"/>
                <w:lang w:eastAsia="lt-LT"/>
              </w:rPr>
              <w:t>2 859,7</w:t>
            </w:r>
          </w:p>
        </w:tc>
        <w:tc>
          <w:tcPr>
            <w:tcW w:w="524" w:type="pct"/>
            <w:tcBorders>
              <w:top w:val="nil"/>
              <w:left w:val="nil"/>
              <w:bottom w:val="single" w:sz="4" w:space="0" w:color="auto"/>
              <w:right w:val="single" w:sz="4" w:space="0" w:color="auto"/>
            </w:tcBorders>
            <w:shd w:val="clear" w:color="auto" w:fill="auto"/>
            <w:vAlign w:val="center"/>
            <w:hideMark/>
          </w:tcPr>
          <w:p w14:paraId="0BB5BF6E" w14:textId="0584875B" w:rsidR="005B19B0" w:rsidRPr="005B19B0" w:rsidRDefault="005B19B0" w:rsidP="005B19B0">
            <w:pPr>
              <w:ind w:firstLine="0"/>
              <w:jc w:val="center"/>
              <w:rPr>
                <w:sz w:val="22"/>
                <w:szCs w:val="22"/>
                <w:lang w:eastAsia="lt-LT"/>
              </w:rPr>
            </w:pPr>
            <w:r w:rsidRPr="005B19B0">
              <w:rPr>
                <w:sz w:val="22"/>
                <w:szCs w:val="22"/>
                <w:lang w:eastAsia="lt-LT"/>
              </w:rPr>
              <w:t>0,8</w:t>
            </w:r>
          </w:p>
        </w:tc>
        <w:tc>
          <w:tcPr>
            <w:tcW w:w="452" w:type="pct"/>
            <w:tcBorders>
              <w:top w:val="nil"/>
              <w:left w:val="nil"/>
              <w:bottom w:val="single" w:sz="4" w:space="0" w:color="auto"/>
              <w:right w:val="single" w:sz="4" w:space="0" w:color="auto"/>
            </w:tcBorders>
            <w:shd w:val="clear" w:color="auto" w:fill="auto"/>
            <w:vAlign w:val="center"/>
            <w:hideMark/>
          </w:tcPr>
          <w:p w14:paraId="567D956F" w14:textId="77777777" w:rsidR="005B19B0" w:rsidRPr="005B19B0" w:rsidRDefault="005B19B0" w:rsidP="005B19B0">
            <w:pPr>
              <w:ind w:firstLine="0"/>
              <w:jc w:val="center"/>
              <w:rPr>
                <w:sz w:val="22"/>
                <w:szCs w:val="22"/>
                <w:lang w:eastAsia="lt-LT"/>
              </w:rPr>
            </w:pPr>
            <w:r w:rsidRPr="005B19B0">
              <w:rPr>
                <w:sz w:val="22"/>
                <w:szCs w:val="22"/>
                <w:lang w:eastAsia="lt-LT"/>
              </w:rPr>
              <w:t>23,1</w:t>
            </w:r>
          </w:p>
        </w:tc>
      </w:tr>
      <w:tr w:rsidR="00B23D27" w:rsidRPr="005B19B0" w14:paraId="643A43D3"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238BDEBA" w14:textId="77777777" w:rsidR="005B19B0" w:rsidRPr="005B19B0" w:rsidRDefault="005B19B0" w:rsidP="005B19B0">
            <w:pPr>
              <w:ind w:firstLine="0"/>
              <w:jc w:val="left"/>
              <w:rPr>
                <w:sz w:val="20"/>
                <w:lang w:eastAsia="lt-LT"/>
              </w:rPr>
            </w:pPr>
            <w:r w:rsidRPr="005B19B0">
              <w:rPr>
                <w:sz w:val="20"/>
                <w:lang w:eastAsia="lt-LT"/>
              </w:rPr>
              <w:t xml:space="preserve">    4.2. ugdymo lėšoms finansuoti</w:t>
            </w:r>
          </w:p>
        </w:tc>
        <w:tc>
          <w:tcPr>
            <w:tcW w:w="704" w:type="pct"/>
            <w:tcBorders>
              <w:top w:val="nil"/>
              <w:left w:val="nil"/>
              <w:bottom w:val="single" w:sz="4" w:space="0" w:color="auto"/>
              <w:right w:val="single" w:sz="4" w:space="0" w:color="auto"/>
            </w:tcBorders>
            <w:shd w:val="clear" w:color="000000" w:fill="FFFFFF"/>
            <w:vAlign w:val="center"/>
            <w:hideMark/>
          </w:tcPr>
          <w:p w14:paraId="47EC3B25" w14:textId="77777777" w:rsidR="005B19B0" w:rsidRPr="005B19B0" w:rsidRDefault="005B19B0" w:rsidP="005B19B0">
            <w:pPr>
              <w:ind w:firstLine="0"/>
              <w:jc w:val="center"/>
              <w:rPr>
                <w:sz w:val="22"/>
                <w:szCs w:val="22"/>
                <w:lang w:eastAsia="lt-LT"/>
              </w:rPr>
            </w:pPr>
            <w:r w:rsidRPr="005B19B0">
              <w:rPr>
                <w:sz w:val="22"/>
                <w:szCs w:val="22"/>
                <w:lang w:eastAsia="lt-LT"/>
              </w:rPr>
              <w:t>5 394,4</w:t>
            </w:r>
          </w:p>
        </w:tc>
        <w:tc>
          <w:tcPr>
            <w:tcW w:w="699" w:type="pct"/>
            <w:tcBorders>
              <w:top w:val="nil"/>
              <w:left w:val="nil"/>
              <w:bottom w:val="single" w:sz="4" w:space="0" w:color="auto"/>
              <w:right w:val="single" w:sz="4" w:space="0" w:color="auto"/>
            </w:tcBorders>
            <w:shd w:val="clear" w:color="000000" w:fill="FFFFFF"/>
            <w:vAlign w:val="center"/>
            <w:hideMark/>
          </w:tcPr>
          <w:p w14:paraId="4CA5CF69" w14:textId="77777777" w:rsidR="005B19B0" w:rsidRPr="005B19B0" w:rsidRDefault="005B19B0" w:rsidP="005B19B0">
            <w:pPr>
              <w:ind w:firstLine="0"/>
              <w:jc w:val="center"/>
              <w:rPr>
                <w:sz w:val="22"/>
                <w:szCs w:val="22"/>
                <w:lang w:eastAsia="lt-LT"/>
              </w:rPr>
            </w:pPr>
            <w:r w:rsidRPr="005B19B0">
              <w:rPr>
                <w:sz w:val="22"/>
                <w:szCs w:val="22"/>
                <w:lang w:eastAsia="lt-LT"/>
              </w:rPr>
              <w:t>5 760,0</w:t>
            </w:r>
          </w:p>
        </w:tc>
        <w:tc>
          <w:tcPr>
            <w:tcW w:w="524" w:type="pct"/>
            <w:tcBorders>
              <w:top w:val="nil"/>
              <w:left w:val="nil"/>
              <w:bottom w:val="single" w:sz="4" w:space="0" w:color="auto"/>
              <w:right w:val="single" w:sz="4" w:space="0" w:color="auto"/>
            </w:tcBorders>
            <w:shd w:val="clear" w:color="auto" w:fill="auto"/>
            <w:vAlign w:val="center"/>
            <w:hideMark/>
          </w:tcPr>
          <w:p w14:paraId="1012C83D" w14:textId="484966EE" w:rsidR="005B19B0" w:rsidRPr="005B19B0" w:rsidRDefault="005B19B0" w:rsidP="005B19B0">
            <w:pPr>
              <w:ind w:firstLine="0"/>
              <w:jc w:val="center"/>
              <w:rPr>
                <w:sz w:val="22"/>
                <w:szCs w:val="22"/>
                <w:lang w:eastAsia="lt-LT"/>
              </w:rPr>
            </w:pPr>
            <w:r w:rsidRPr="005B19B0">
              <w:rPr>
                <w:sz w:val="22"/>
                <w:szCs w:val="22"/>
                <w:lang w:eastAsia="lt-LT"/>
              </w:rPr>
              <w:t>6,8</w:t>
            </w:r>
          </w:p>
        </w:tc>
        <w:tc>
          <w:tcPr>
            <w:tcW w:w="452" w:type="pct"/>
            <w:tcBorders>
              <w:top w:val="nil"/>
              <w:left w:val="nil"/>
              <w:bottom w:val="single" w:sz="4" w:space="0" w:color="auto"/>
              <w:right w:val="single" w:sz="4" w:space="0" w:color="auto"/>
            </w:tcBorders>
            <w:shd w:val="clear" w:color="auto" w:fill="auto"/>
            <w:vAlign w:val="center"/>
            <w:hideMark/>
          </w:tcPr>
          <w:p w14:paraId="3B987E83" w14:textId="77777777" w:rsidR="005B19B0" w:rsidRPr="005B19B0" w:rsidRDefault="005B19B0" w:rsidP="005B19B0">
            <w:pPr>
              <w:ind w:firstLine="0"/>
              <w:jc w:val="center"/>
              <w:rPr>
                <w:sz w:val="22"/>
                <w:szCs w:val="22"/>
                <w:lang w:eastAsia="lt-LT"/>
              </w:rPr>
            </w:pPr>
            <w:r w:rsidRPr="005B19B0">
              <w:rPr>
                <w:sz w:val="22"/>
                <w:szCs w:val="22"/>
                <w:lang w:eastAsia="lt-LT"/>
              </w:rPr>
              <w:t>365,6</w:t>
            </w:r>
          </w:p>
        </w:tc>
      </w:tr>
      <w:tr w:rsidR="00B23D27" w:rsidRPr="005B19B0" w14:paraId="536AD114" w14:textId="77777777" w:rsidTr="00BC6AC2">
        <w:trPr>
          <w:trHeight w:val="58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2A48E67F" w14:textId="77777777" w:rsidR="005B19B0" w:rsidRPr="005B19B0" w:rsidRDefault="005B19B0" w:rsidP="005B19B0">
            <w:pPr>
              <w:ind w:firstLine="0"/>
              <w:jc w:val="left"/>
              <w:rPr>
                <w:sz w:val="20"/>
                <w:lang w:eastAsia="lt-LT"/>
              </w:rPr>
            </w:pPr>
            <w:r w:rsidRPr="005B19B0">
              <w:rPr>
                <w:sz w:val="20"/>
                <w:lang w:eastAsia="lt-LT"/>
              </w:rPr>
              <w:t xml:space="preserve">    4.3. tikslinės lėšos, mokiniams turintiems specialiųjų ugdymosi poreikių </w:t>
            </w:r>
          </w:p>
        </w:tc>
        <w:tc>
          <w:tcPr>
            <w:tcW w:w="704" w:type="pct"/>
            <w:tcBorders>
              <w:top w:val="nil"/>
              <w:left w:val="nil"/>
              <w:bottom w:val="single" w:sz="4" w:space="0" w:color="auto"/>
              <w:right w:val="single" w:sz="4" w:space="0" w:color="auto"/>
            </w:tcBorders>
            <w:shd w:val="clear" w:color="000000" w:fill="FFFFFF"/>
            <w:vAlign w:val="center"/>
            <w:hideMark/>
          </w:tcPr>
          <w:p w14:paraId="49BF5EBE" w14:textId="77777777" w:rsidR="005B19B0" w:rsidRPr="005B19B0" w:rsidRDefault="005B19B0" w:rsidP="005B19B0">
            <w:pPr>
              <w:ind w:firstLine="0"/>
              <w:jc w:val="center"/>
              <w:rPr>
                <w:sz w:val="22"/>
                <w:szCs w:val="22"/>
                <w:lang w:eastAsia="lt-LT"/>
              </w:rPr>
            </w:pPr>
            <w:r w:rsidRPr="005B19B0">
              <w:rPr>
                <w:sz w:val="22"/>
                <w:szCs w:val="22"/>
                <w:lang w:eastAsia="lt-LT"/>
              </w:rPr>
              <w:t>48,0</w:t>
            </w:r>
          </w:p>
        </w:tc>
        <w:tc>
          <w:tcPr>
            <w:tcW w:w="699" w:type="pct"/>
            <w:tcBorders>
              <w:top w:val="nil"/>
              <w:left w:val="nil"/>
              <w:bottom w:val="single" w:sz="4" w:space="0" w:color="auto"/>
              <w:right w:val="single" w:sz="4" w:space="0" w:color="auto"/>
            </w:tcBorders>
            <w:shd w:val="clear" w:color="000000" w:fill="FFFFFF"/>
            <w:vAlign w:val="center"/>
            <w:hideMark/>
          </w:tcPr>
          <w:p w14:paraId="4DA2793D" w14:textId="77777777" w:rsidR="005B19B0" w:rsidRPr="005B19B0" w:rsidRDefault="005B19B0" w:rsidP="005B19B0">
            <w:pPr>
              <w:ind w:firstLine="0"/>
              <w:jc w:val="center"/>
              <w:rPr>
                <w:sz w:val="22"/>
                <w:szCs w:val="22"/>
                <w:lang w:eastAsia="lt-LT"/>
              </w:rPr>
            </w:pPr>
            <w:r w:rsidRPr="005B19B0">
              <w:rPr>
                <w:sz w:val="22"/>
                <w:szCs w:val="22"/>
                <w:lang w:eastAsia="lt-LT"/>
              </w:rPr>
              <w:t>58,4</w:t>
            </w:r>
          </w:p>
        </w:tc>
        <w:tc>
          <w:tcPr>
            <w:tcW w:w="524" w:type="pct"/>
            <w:tcBorders>
              <w:top w:val="nil"/>
              <w:left w:val="nil"/>
              <w:bottom w:val="single" w:sz="4" w:space="0" w:color="auto"/>
              <w:right w:val="single" w:sz="4" w:space="0" w:color="auto"/>
            </w:tcBorders>
            <w:shd w:val="clear" w:color="auto" w:fill="auto"/>
            <w:vAlign w:val="center"/>
            <w:hideMark/>
          </w:tcPr>
          <w:p w14:paraId="6D11E74F" w14:textId="42FE8D21" w:rsidR="005B19B0" w:rsidRPr="005B19B0" w:rsidRDefault="005B19B0" w:rsidP="005B19B0">
            <w:pPr>
              <w:ind w:firstLine="0"/>
              <w:jc w:val="center"/>
              <w:rPr>
                <w:sz w:val="22"/>
                <w:szCs w:val="22"/>
                <w:lang w:eastAsia="lt-LT"/>
              </w:rPr>
            </w:pPr>
            <w:r w:rsidRPr="005B19B0">
              <w:rPr>
                <w:sz w:val="22"/>
                <w:szCs w:val="22"/>
                <w:lang w:eastAsia="lt-LT"/>
              </w:rPr>
              <w:t>21,7</w:t>
            </w:r>
          </w:p>
        </w:tc>
        <w:tc>
          <w:tcPr>
            <w:tcW w:w="452" w:type="pct"/>
            <w:tcBorders>
              <w:top w:val="nil"/>
              <w:left w:val="nil"/>
              <w:bottom w:val="single" w:sz="4" w:space="0" w:color="auto"/>
              <w:right w:val="single" w:sz="4" w:space="0" w:color="auto"/>
            </w:tcBorders>
            <w:shd w:val="clear" w:color="auto" w:fill="auto"/>
            <w:vAlign w:val="center"/>
            <w:hideMark/>
          </w:tcPr>
          <w:p w14:paraId="62E3ACD8" w14:textId="77777777" w:rsidR="005B19B0" w:rsidRPr="005B19B0" w:rsidRDefault="005B19B0" w:rsidP="005B19B0">
            <w:pPr>
              <w:ind w:firstLine="0"/>
              <w:jc w:val="center"/>
              <w:rPr>
                <w:sz w:val="22"/>
                <w:szCs w:val="22"/>
                <w:lang w:eastAsia="lt-LT"/>
              </w:rPr>
            </w:pPr>
            <w:r w:rsidRPr="005B19B0">
              <w:rPr>
                <w:sz w:val="22"/>
                <w:szCs w:val="22"/>
                <w:lang w:eastAsia="lt-LT"/>
              </w:rPr>
              <w:t>10,4</w:t>
            </w:r>
          </w:p>
        </w:tc>
      </w:tr>
      <w:tr w:rsidR="00B23D27" w:rsidRPr="005B19B0" w14:paraId="43EA0F46" w14:textId="77777777" w:rsidTr="00BC6AC2">
        <w:trPr>
          <w:trHeight w:val="315"/>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43E3DAB6" w14:textId="77777777" w:rsidR="005B19B0" w:rsidRPr="005B19B0" w:rsidRDefault="005B19B0" w:rsidP="005B19B0">
            <w:pPr>
              <w:ind w:firstLine="0"/>
              <w:jc w:val="left"/>
              <w:rPr>
                <w:sz w:val="20"/>
                <w:lang w:eastAsia="lt-LT"/>
              </w:rPr>
            </w:pPr>
            <w:r w:rsidRPr="005B19B0">
              <w:rPr>
                <w:sz w:val="20"/>
                <w:lang w:eastAsia="lt-LT"/>
              </w:rPr>
              <w:t xml:space="preserve">    4.4. kitos tikslinės dotacijos ir lėšos</w:t>
            </w:r>
          </w:p>
        </w:tc>
        <w:tc>
          <w:tcPr>
            <w:tcW w:w="704" w:type="pct"/>
            <w:tcBorders>
              <w:top w:val="nil"/>
              <w:left w:val="nil"/>
              <w:bottom w:val="single" w:sz="4" w:space="0" w:color="auto"/>
              <w:right w:val="single" w:sz="4" w:space="0" w:color="auto"/>
            </w:tcBorders>
            <w:shd w:val="clear" w:color="000000" w:fill="FFFFFF"/>
            <w:vAlign w:val="center"/>
            <w:hideMark/>
          </w:tcPr>
          <w:p w14:paraId="174A47EB" w14:textId="77777777" w:rsidR="005B19B0" w:rsidRPr="005B19B0" w:rsidRDefault="005B19B0" w:rsidP="005B19B0">
            <w:pPr>
              <w:ind w:firstLine="0"/>
              <w:jc w:val="center"/>
              <w:rPr>
                <w:sz w:val="22"/>
                <w:szCs w:val="22"/>
                <w:lang w:eastAsia="lt-LT"/>
              </w:rPr>
            </w:pPr>
            <w:r w:rsidRPr="005B19B0">
              <w:rPr>
                <w:sz w:val="22"/>
                <w:szCs w:val="22"/>
                <w:lang w:eastAsia="lt-LT"/>
              </w:rPr>
              <w:t>683,2</w:t>
            </w:r>
          </w:p>
        </w:tc>
        <w:tc>
          <w:tcPr>
            <w:tcW w:w="699" w:type="pct"/>
            <w:tcBorders>
              <w:top w:val="nil"/>
              <w:left w:val="nil"/>
              <w:bottom w:val="single" w:sz="4" w:space="0" w:color="auto"/>
              <w:right w:val="single" w:sz="4" w:space="0" w:color="auto"/>
            </w:tcBorders>
            <w:shd w:val="clear" w:color="000000" w:fill="FFFFFF"/>
            <w:vAlign w:val="center"/>
            <w:hideMark/>
          </w:tcPr>
          <w:p w14:paraId="17B5C702" w14:textId="77777777" w:rsidR="005B19B0" w:rsidRPr="005B19B0" w:rsidRDefault="005B19B0" w:rsidP="005B19B0">
            <w:pPr>
              <w:ind w:firstLine="0"/>
              <w:jc w:val="center"/>
              <w:rPr>
                <w:sz w:val="22"/>
                <w:szCs w:val="22"/>
                <w:lang w:eastAsia="lt-LT"/>
              </w:rPr>
            </w:pPr>
            <w:r w:rsidRPr="005B19B0">
              <w:rPr>
                <w:sz w:val="22"/>
                <w:szCs w:val="22"/>
                <w:lang w:eastAsia="lt-LT"/>
              </w:rPr>
              <w:t>501,5</w:t>
            </w:r>
          </w:p>
        </w:tc>
        <w:tc>
          <w:tcPr>
            <w:tcW w:w="524" w:type="pct"/>
            <w:tcBorders>
              <w:top w:val="nil"/>
              <w:left w:val="nil"/>
              <w:bottom w:val="single" w:sz="4" w:space="0" w:color="auto"/>
              <w:right w:val="single" w:sz="4" w:space="0" w:color="auto"/>
            </w:tcBorders>
            <w:shd w:val="clear" w:color="auto" w:fill="auto"/>
            <w:vAlign w:val="center"/>
            <w:hideMark/>
          </w:tcPr>
          <w:p w14:paraId="33A059E4" w14:textId="3A790E92" w:rsidR="005B19B0" w:rsidRPr="005B19B0" w:rsidRDefault="005B19B0" w:rsidP="005B19B0">
            <w:pPr>
              <w:ind w:firstLine="0"/>
              <w:jc w:val="center"/>
              <w:rPr>
                <w:sz w:val="22"/>
                <w:szCs w:val="22"/>
                <w:lang w:eastAsia="lt-LT"/>
              </w:rPr>
            </w:pPr>
            <w:r w:rsidRPr="005B19B0">
              <w:rPr>
                <w:sz w:val="22"/>
                <w:szCs w:val="22"/>
                <w:lang w:eastAsia="lt-LT"/>
              </w:rPr>
              <w:t>-26,6</w:t>
            </w:r>
          </w:p>
        </w:tc>
        <w:tc>
          <w:tcPr>
            <w:tcW w:w="452" w:type="pct"/>
            <w:tcBorders>
              <w:top w:val="nil"/>
              <w:left w:val="nil"/>
              <w:bottom w:val="single" w:sz="4" w:space="0" w:color="auto"/>
              <w:right w:val="single" w:sz="4" w:space="0" w:color="auto"/>
            </w:tcBorders>
            <w:shd w:val="clear" w:color="auto" w:fill="auto"/>
            <w:vAlign w:val="center"/>
            <w:hideMark/>
          </w:tcPr>
          <w:p w14:paraId="29A54237" w14:textId="77777777" w:rsidR="005B19B0" w:rsidRPr="005B19B0" w:rsidRDefault="005B19B0" w:rsidP="005B19B0">
            <w:pPr>
              <w:ind w:firstLine="0"/>
              <w:jc w:val="center"/>
              <w:rPr>
                <w:sz w:val="22"/>
                <w:szCs w:val="22"/>
                <w:lang w:eastAsia="lt-LT"/>
              </w:rPr>
            </w:pPr>
            <w:r w:rsidRPr="005B19B0">
              <w:rPr>
                <w:sz w:val="22"/>
                <w:szCs w:val="22"/>
                <w:lang w:eastAsia="lt-LT"/>
              </w:rPr>
              <w:t>-181,7</w:t>
            </w:r>
          </w:p>
        </w:tc>
      </w:tr>
      <w:tr w:rsidR="00B23D27" w:rsidRPr="005B19B0" w14:paraId="3D81E081" w14:textId="77777777" w:rsidTr="00BC6AC2">
        <w:trPr>
          <w:trHeight w:val="60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0558BB5D" w14:textId="77777777" w:rsidR="005B19B0" w:rsidRPr="005B19B0" w:rsidRDefault="005B19B0" w:rsidP="005B19B0">
            <w:pPr>
              <w:ind w:firstLine="0"/>
              <w:jc w:val="left"/>
              <w:rPr>
                <w:b/>
                <w:bCs/>
                <w:sz w:val="22"/>
                <w:szCs w:val="22"/>
                <w:lang w:eastAsia="lt-LT"/>
              </w:rPr>
            </w:pPr>
            <w:r w:rsidRPr="005B19B0">
              <w:rPr>
                <w:b/>
                <w:bCs/>
                <w:sz w:val="22"/>
                <w:szCs w:val="22"/>
                <w:lang w:eastAsia="lt-LT"/>
              </w:rPr>
              <w:t>3. Planuojama valstybės biudžeto dotacija turtui įsigyti</w:t>
            </w:r>
          </w:p>
        </w:tc>
        <w:tc>
          <w:tcPr>
            <w:tcW w:w="704" w:type="pct"/>
            <w:tcBorders>
              <w:top w:val="nil"/>
              <w:left w:val="nil"/>
              <w:bottom w:val="single" w:sz="4" w:space="0" w:color="auto"/>
              <w:right w:val="single" w:sz="4" w:space="0" w:color="auto"/>
            </w:tcBorders>
            <w:shd w:val="clear" w:color="000000" w:fill="FFFFFF"/>
            <w:noWrap/>
            <w:vAlign w:val="center"/>
            <w:hideMark/>
          </w:tcPr>
          <w:p w14:paraId="3818847A" w14:textId="77777777" w:rsidR="005B19B0" w:rsidRPr="005B19B0" w:rsidRDefault="005B19B0" w:rsidP="005B19B0">
            <w:pPr>
              <w:ind w:firstLine="0"/>
              <w:jc w:val="center"/>
              <w:rPr>
                <w:b/>
                <w:bCs/>
                <w:sz w:val="22"/>
                <w:szCs w:val="22"/>
                <w:lang w:eastAsia="lt-LT"/>
              </w:rPr>
            </w:pPr>
            <w:r w:rsidRPr="005B19B0">
              <w:rPr>
                <w:b/>
                <w:bCs/>
                <w:sz w:val="22"/>
                <w:szCs w:val="22"/>
                <w:lang w:eastAsia="lt-LT"/>
              </w:rPr>
              <w:t>1 461,0</w:t>
            </w:r>
          </w:p>
        </w:tc>
        <w:tc>
          <w:tcPr>
            <w:tcW w:w="699" w:type="pct"/>
            <w:tcBorders>
              <w:top w:val="nil"/>
              <w:left w:val="nil"/>
              <w:bottom w:val="single" w:sz="4" w:space="0" w:color="auto"/>
              <w:right w:val="single" w:sz="4" w:space="0" w:color="auto"/>
            </w:tcBorders>
            <w:shd w:val="clear" w:color="000000" w:fill="FFFFFF"/>
            <w:noWrap/>
            <w:vAlign w:val="center"/>
            <w:hideMark/>
          </w:tcPr>
          <w:p w14:paraId="1F9EFDCF" w14:textId="77777777" w:rsidR="005B19B0" w:rsidRPr="005B19B0" w:rsidRDefault="005B19B0" w:rsidP="005B19B0">
            <w:pPr>
              <w:ind w:firstLine="0"/>
              <w:jc w:val="center"/>
              <w:rPr>
                <w:b/>
                <w:bCs/>
                <w:sz w:val="22"/>
                <w:szCs w:val="22"/>
                <w:lang w:eastAsia="lt-LT"/>
              </w:rPr>
            </w:pPr>
            <w:r w:rsidRPr="005B19B0">
              <w:rPr>
                <w:b/>
                <w:bCs/>
                <w:sz w:val="22"/>
                <w:szCs w:val="22"/>
                <w:lang w:eastAsia="lt-LT"/>
              </w:rPr>
              <w:t>0,0</w:t>
            </w:r>
          </w:p>
        </w:tc>
        <w:tc>
          <w:tcPr>
            <w:tcW w:w="524" w:type="pct"/>
            <w:tcBorders>
              <w:top w:val="nil"/>
              <w:left w:val="nil"/>
              <w:bottom w:val="single" w:sz="4" w:space="0" w:color="auto"/>
              <w:right w:val="single" w:sz="4" w:space="0" w:color="auto"/>
            </w:tcBorders>
            <w:shd w:val="clear" w:color="auto" w:fill="auto"/>
            <w:vAlign w:val="center"/>
            <w:hideMark/>
          </w:tcPr>
          <w:p w14:paraId="317BBE99" w14:textId="5130B9E0" w:rsidR="005B19B0" w:rsidRPr="005B19B0" w:rsidRDefault="005B19B0" w:rsidP="005B19B0">
            <w:pPr>
              <w:ind w:firstLine="0"/>
              <w:jc w:val="center"/>
              <w:rPr>
                <w:b/>
                <w:bCs/>
                <w:sz w:val="22"/>
                <w:szCs w:val="22"/>
                <w:lang w:eastAsia="lt-LT"/>
              </w:rPr>
            </w:pPr>
            <w:r w:rsidRPr="005B19B0">
              <w:rPr>
                <w:b/>
                <w:bCs/>
                <w:sz w:val="22"/>
                <w:szCs w:val="22"/>
                <w:lang w:eastAsia="lt-LT"/>
              </w:rPr>
              <w:t>-100,0</w:t>
            </w:r>
          </w:p>
        </w:tc>
        <w:tc>
          <w:tcPr>
            <w:tcW w:w="452" w:type="pct"/>
            <w:tcBorders>
              <w:top w:val="nil"/>
              <w:left w:val="nil"/>
              <w:bottom w:val="single" w:sz="4" w:space="0" w:color="auto"/>
              <w:right w:val="single" w:sz="4" w:space="0" w:color="auto"/>
            </w:tcBorders>
            <w:shd w:val="clear" w:color="auto" w:fill="auto"/>
            <w:vAlign w:val="center"/>
            <w:hideMark/>
          </w:tcPr>
          <w:p w14:paraId="734BC999" w14:textId="77777777" w:rsidR="005B19B0" w:rsidRPr="005B19B0" w:rsidRDefault="005B19B0" w:rsidP="005B19B0">
            <w:pPr>
              <w:ind w:firstLine="0"/>
              <w:jc w:val="center"/>
              <w:rPr>
                <w:b/>
                <w:bCs/>
                <w:sz w:val="22"/>
                <w:szCs w:val="22"/>
                <w:lang w:eastAsia="lt-LT"/>
              </w:rPr>
            </w:pPr>
            <w:r w:rsidRPr="005B19B0">
              <w:rPr>
                <w:b/>
                <w:bCs/>
                <w:sz w:val="22"/>
                <w:szCs w:val="22"/>
                <w:lang w:eastAsia="lt-LT"/>
              </w:rPr>
              <w:t>-1461,0</w:t>
            </w:r>
          </w:p>
        </w:tc>
      </w:tr>
      <w:tr w:rsidR="00B23D27" w:rsidRPr="005B19B0" w14:paraId="09D32B19"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3A8E7A53" w14:textId="77777777" w:rsidR="005B19B0" w:rsidRPr="005B19B0" w:rsidRDefault="005B19B0" w:rsidP="005B19B0">
            <w:pPr>
              <w:ind w:firstLine="0"/>
              <w:jc w:val="left"/>
              <w:rPr>
                <w:sz w:val="20"/>
                <w:lang w:eastAsia="lt-LT"/>
              </w:rPr>
            </w:pPr>
            <w:r w:rsidRPr="005B19B0">
              <w:rPr>
                <w:sz w:val="20"/>
                <w:lang w:eastAsia="lt-LT"/>
              </w:rPr>
              <w:t xml:space="preserve">    5.1. investicijų projektams finansuoti </w:t>
            </w:r>
          </w:p>
        </w:tc>
        <w:tc>
          <w:tcPr>
            <w:tcW w:w="704" w:type="pct"/>
            <w:tcBorders>
              <w:top w:val="nil"/>
              <w:left w:val="nil"/>
              <w:bottom w:val="single" w:sz="4" w:space="0" w:color="auto"/>
              <w:right w:val="single" w:sz="4" w:space="0" w:color="auto"/>
            </w:tcBorders>
            <w:shd w:val="clear" w:color="000000" w:fill="FFFFFF"/>
            <w:noWrap/>
            <w:vAlign w:val="bottom"/>
            <w:hideMark/>
          </w:tcPr>
          <w:p w14:paraId="06F7843E" w14:textId="77777777" w:rsidR="005B19B0" w:rsidRPr="005B19B0" w:rsidRDefault="005B19B0" w:rsidP="005B19B0">
            <w:pPr>
              <w:ind w:firstLine="0"/>
              <w:jc w:val="center"/>
              <w:rPr>
                <w:sz w:val="20"/>
                <w:lang w:eastAsia="lt-LT"/>
              </w:rPr>
            </w:pPr>
            <w:r w:rsidRPr="005B19B0">
              <w:rPr>
                <w:sz w:val="20"/>
                <w:lang w:eastAsia="lt-LT"/>
              </w:rPr>
              <w:t>1 461,0</w:t>
            </w:r>
          </w:p>
        </w:tc>
        <w:tc>
          <w:tcPr>
            <w:tcW w:w="699" w:type="pct"/>
            <w:tcBorders>
              <w:top w:val="nil"/>
              <w:left w:val="nil"/>
              <w:bottom w:val="single" w:sz="4" w:space="0" w:color="auto"/>
              <w:right w:val="single" w:sz="4" w:space="0" w:color="auto"/>
            </w:tcBorders>
            <w:shd w:val="clear" w:color="000000" w:fill="FFFFFF"/>
            <w:noWrap/>
            <w:vAlign w:val="bottom"/>
            <w:hideMark/>
          </w:tcPr>
          <w:p w14:paraId="6098F9F1" w14:textId="77777777" w:rsidR="005B19B0" w:rsidRPr="005B19B0" w:rsidRDefault="005B19B0" w:rsidP="005B19B0">
            <w:pPr>
              <w:ind w:firstLine="0"/>
              <w:jc w:val="center"/>
              <w:rPr>
                <w:sz w:val="20"/>
                <w:lang w:eastAsia="lt-LT"/>
              </w:rPr>
            </w:pPr>
            <w:r w:rsidRPr="005B19B0">
              <w:rPr>
                <w:sz w:val="20"/>
                <w:lang w:eastAsia="lt-LT"/>
              </w:rPr>
              <w:t>0,0</w:t>
            </w:r>
          </w:p>
        </w:tc>
        <w:tc>
          <w:tcPr>
            <w:tcW w:w="524" w:type="pct"/>
            <w:tcBorders>
              <w:top w:val="nil"/>
              <w:left w:val="nil"/>
              <w:bottom w:val="single" w:sz="4" w:space="0" w:color="auto"/>
              <w:right w:val="single" w:sz="4" w:space="0" w:color="auto"/>
            </w:tcBorders>
            <w:shd w:val="clear" w:color="auto" w:fill="auto"/>
            <w:vAlign w:val="center"/>
            <w:hideMark/>
          </w:tcPr>
          <w:p w14:paraId="67B96DF6" w14:textId="5557A11D" w:rsidR="005B19B0" w:rsidRPr="005B19B0" w:rsidRDefault="005B19B0" w:rsidP="005B19B0">
            <w:pPr>
              <w:ind w:firstLine="0"/>
              <w:jc w:val="center"/>
              <w:rPr>
                <w:sz w:val="22"/>
                <w:szCs w:val="22"/>
                <w:lang w:eastAsia="lt-LT"/>
              </w:rPr>
            </w:pPr>
            <w:r w:rsidRPr="005B19B0">
              <w:rPr>
                <w:sz w:val="22"/>
                <w:szCs w:val="22"/>
                <w:lang w:eastAsia="lt-LT"/>
              </w:rPr>
              <w:t>-100,0</w:t>
            </w:r>
          </w:p>
        </w:tc>
        <w:tc>
          <w:tcPr>
            <w:tcW w:w="452" w:type="pct"/>
            <w:tcBorders>
              <w:top w:val="nil"/>
              <w:left w:val="nil"/>
              <w:bottom w:val="single" w:sz="4" w:space="0" w:color="auto"/>
              <w:right w:val="single" w:sz="4" w:space="0" w:color="auto"/>
            </w:tcBorders>
            <w:shd w:val="clear" w:color="auto" w:fill="auto"/>
            <w:vAlign w:val="center"/>
            <w:hideMark/>
          </w:tcPr>
          <w:p w14:paraId="4FBC6749" w14:textId="77777777" w:rsidR="005B19B0" w:rsidRPr="005B19B0" w:rsidRDefault="005B19B0" w:rsidP="005B19B0">
            <w:pPr>
              <w:ind w:firstLine="0"/>
              <w:jc w:val="center"/>
              <w:rPr>
                <w:sz w:val="22"/>
                <w:szCs w:val="22"/>
                <w:lang w:eastAsia="lt-LT"/>
              </w:rPr>
            </w:pPr>
            <w:r w:rsidRPr="005B19B0">
              <w:rPr>
                <w:sz w:val="22"/>
                <w:szCs w:val="22"/>
                <w:lang w:eastAsia="lt-LT"/>
              </w:rPr>
              <w:t>-1461,0</w:t>
            </w:r>
          </w:p>
        </w:tc>
      </w:tr>
      <w:tr w:rsidR="00830A65" w:rsidRPr="005B19B0" w14:paraId="18B1603D" w14:textId="77777777" w:rsidTr="00BC6AC2">
        <w:trPr>
          <w:trHeight w:val="812"/>
        </w:trPr>
        <w:tc>
          <w:tcPr>
            <w:tcW w:w="2621" w:type="pct"/>
            <w:vMerge w:val="restart"/>
            <w:tcBorders>
              <w:top w:val="single" w:sz="4" w:space="0" w:color="auto"/>
              <w:left w:val="single" w:sz="4" w:space="0" w:color="auto"/>
              <w:right w:val="single" w:sz="4" w:space="0" w:color="auto"/>
            </w:tcBorders>
            <w:shd w:val="clear" w:color="auto" w:fill="FFFF99"/>
            <w:vAlign w:val="center"/>
          </w:tcPr>
          <w:p w14:paraId="57C5B475" w14:textId="1C40C840" w:rsidR="00830A65" w:rsidRPr="00377534" w:rsidRDefault="00830A65" w:rsidP="00377534">
            <w:pPr>
              <w:ind w:firstLine="0"/>
              <w:jc w:val="center"/>
              <w:rPr>
                <w:b/>
                <w:bCs/>
                <w:sz w:val="20"/>
                <w:lang w:eastAsia="lt-LT"/>
              </w:rPr>
            </w:pPr>
            <w:r w:rsidRPr="00377534">
              <w:rPr>
                <w:b/>
                <w:bCs/>
                <w:sz w:val="20"/>
                <w:lang w:eastAsia="lt-LT"/>
              </w:rPr>
              <w:lastRenderedPageBreak/>
              <w:t>Rodiklio pavadinimas</w:t>
            </w:r>
          </w:p>
        </w:tc>
        <w:tc>
          <w:tcPr>
            <w:tcW w:w="704" w:type="pct"/>
            <w:vMerge w:val="restart"/>
            <w:tcBorders>
              <w:top w:val="single" w:sz="4" w:space="0" w:color="auto"/>
              <w:left w:val="nil"/>
              <w:right w:val="single" w:sz="4" w:space="0" w:color="auto"/>
            </w:tcBorders>
            <w:shd w:val="clear" w:color="auto" w:fill="FFFF99"/>
            <w:noWrap/>
            <w:vAlign w:val="center"/>
          </w:tcPr>
          <w:p w14:paraId="675353A2" w14:textId="77777777" w:rsidR="00830A65" w:rsidRDefault="00830A65" w:rsidP="005B19B0">
            <w:pPr>
              <w:ind w:firstLine="0"/>
              <w:jc w:val="center"/>
              <w:rPr>
                <w:b/>
                <w:bCs/>
                <w:sz w:val="18"/>
                <w:szCs w:val="18"/>
                <w:lang w:eastAsia="lt-LT"/>
              </w:rPr>
            </w:pPr>
            <w:r w:rsidRPr="00377534">
              <w:rPr>
                <w:b/>
                <w:bCs/>
                <w:sz w:val="18"/>
                <w:szCs w:val="18"/>
                <w:lang w:eastAsia="lt-LT"/>
              </w:rPr>
              <w:t>2022</w:t>
            </w:r>
            <w:r>
              <w:rPr>
                <w:b/>
                <w:bCs/>
                <w:sz w:val="18"/>
                <w:szCs w:val="18"/>
                <w:lang w:eastAsia="lt-LT"/>
              </w:rPr>
              <w:t xml:space="preserve"> m. </w:t>
            </w:r>
          </w:p>
          <w:p w14:paraId="127E786E" w14:textId="48E933EB" w:rsidR="00830A65" w:rsidRDefault="00830A65" w:rsidP="005B19B0">
            <w:pPr>
              <w:ind w:firstLine="0"/>
              <w:jc w:val="center"/>
              <w:rPr>
                <w:b/>
                <w:bCs/>
                <w:sz w:val="18"/>
                <w:szCs w:val="18"/>
                <w:lang w:eastAsia="lt-LT"/>
              </w:rPr>
            </w:pPr>
            <w:r>
              <w:rPr>
                <w:b/>
                <w:bCs/>
                <w:sz w:val="18"/>
                <w:szCs w:val="18"/>
                <w:lang w:eastAsia="lt-LT"/>
              </w:rPr>
              <w:t>prognozuo-</w:t>
            </w:r>
          </w:p>
          <w:p w14:paraId="1535BCC4" w14:textId="77777777" w:rsidR="00830A65" w:rsidRDefault="00830A65" w:rsidP="005B19B0">
            <w:pPr>
              <w:ind w:firstLine="0"/>
              <w:jc w:val="center"/>
              <w:rPr>
                <w:b/>
                <w:bCs/>
                <w:sz w:val="18"/>
                <w:szCs w:val="18"/>
                <w:lang w:eastAsia="lt-LT"/>
              </w:rPr>
            </w:pPr>
            <w:r>
              <w:rPr>
                <w:b/>
                <w:bCs/>
                <w:sz w:val="18"/>
                <w:szCs w:val="18"/>
                <w:lang w:eastAsia="lt-LT"/>
              </w:rPr>
              <w:t>jamos</w:t>
            </w:r>
          </w:p>
          <w:p w14:paraId="2CA661D1" w14:textId="77777777" w:rsidR="00830A65" w:rsidRDefault="00830A65" w:rsidP="005B19B0">
            <w:pPr>
              <w:ind w:firstLine="0"/>
              <w:jc w:val="center"/>
              <w:rPr>
                <w:b/>
                <w:bCs/>
                <w:sz w:val="18"/>
                <w:szCs w:val="18"/>
                <w:lang w:eastAsia="lt-LT"/>
              </w:rPr>
            </w:pPr>
            <w:r>
              <w:rPr>
                <w:b/>
                <w:bCs/>
                <w:sz w:val="18"/>
                <w:szCs w:val="18"/>
                <w:lang w:eastAsia="lt-LT"/>
              </w:rPr>
              <w:t>pajamos</w:t>
            </w:r>
          </w:p>
          <w:p w14:paraId="56A8D51A" w14:textId="4F78CBE1" w:rsidR="00830A65" w:rsidRPr="00377534" w:rsidRDefault="00830A65" w:rsidP="005B19B0">
            <w:pPr>
              <w:ind w:firstLine="0"/>
              <w:jc w:val="center"/>
              <w:rPr>
                <w:b/>
                <w:bCs/>
                <w:sz w:val="18"/>
                <w:szCs w:val="18"/>
                <w:lang w:eastAsia="lt-LT"/>
              </w:rPr>
            </w:pPr>
            <w:r>
              <w:rPr>
                <w:b/>
                <w:bCs/>
                <w:sz w:val="18"/>
                <w:szCs w:val="18"/>
                <w:lang w:eastAsia="lt-LT"/>
              </w:rPr>
              <w:t>(tūkst. Eur)</w:t>
            </w:r>
          </w:p>
        </w:tc>
        <w:tc>
          <w:tcPr>
            <w:tcW w:w="699" w:type="pct"/>
            <w:vMerge w:val="restart"/>
            <w:tcBorders>
              <w:top w:val="single" w:sz="4" w:space="0" w:color="auto"/>
              <w:left w:val="nil"/>
              <w:right w:val="single" w:sz="4" w:space="0" w:color="auto"/>
            </w:tcBorders>
            <w:shd w:val="clear" w:color="auto" w:fill="FFFF99"/>
            <w:noWrap/>
            <w:vAlign w:val="center"/>
          </w:tcPr>
          <w:p w14:paraId="063401DD" w14:textId="1462B307" w:rsidR="00830A65" w:rsidRDefault="00830A65" w:rsidP="006A46CE">
            <w:pPr>
              <w:ind w:firstLine="0"/>
              <w:jc w:val="center"/>
              <w:rPr>
                <w:b/>
                <w:bCs/>
                <w:sz w:val="18"/>
                <w:szCs w:val="18"/>
                <w:lang w:eastAsia="lt-LT"/>
              </w:rPr>
            </w:pPr>
            <w:r w:rsidRPr="00377534">
              <w:rPr>
                <w:b/>
                <w:bCs/>
                <w:sz w:val="18"/>
                <w:szCs w:val="18"/>
                <w:lang w:eastAsia="lt-LT"/>
              </w:rPr>
              <w:t>202</w:t>
            </w:r>
            <w:r>
              <w:rPr>
                <w:b/>
                <w:bCs/>
                <w:sz w:val="18"/>
                <w:szCs w:val="18"/>
                <w:lang w:eastAsia="lt-LT"/>
              </w:rPr>
              <w:t xml:space="preserve">3 m. </w:t>
            </w:r>
          </w:p>
          <w:p w14:paraId="1438397B" w14:textId="77777777" w:rsidR="00830A65" w:rsidRDefault="00830A65" w:rsidP="006A46CE">
            <w:pPr>
              <w:ind w:firstLine="0"/>
              <w:jc w:val="center"/>
              <w:rPr>
                <w:b/>
                <w:bCs/>
                <w:sz w:val="18"/>
                <w:szCs w:val="18"/>
                <w:lang w:eastAsia="lt-LT"/>
              </w:rPr>
            </w:pPr>
            <w:r>
              <w:rPr>
                <w:b/>
                <w:bCs/>
                <w:sz w:val="18"/>
                <w:szCs w:val="18"/>
                <w:lang w:eastAsia="lt-LT"/>
              </w:rPr>
              <w:t>prognozuo-</w:t>
            </w:r>
          </w:p>
          <w:p w14:paraId="4C01CE05" w14:textId="77777777" w:rsidR="00830A65" w:rsidRDefault="00830A65" w:rsidP="006A46CE">
            <w:pPr>
              <w:ind w:firstLine="0"/>
              <w:jc w:val="center"/>
              <w:rPr>
                <w:b/>
                <w:bCs/>
                <w:sz w:val="18"/>
                <w:szCs w:val="18"/>
                <w:lang w:eastAsia="lt-LT"/>
              </w:rPr>
            </w:pPr>
            <w:r>
              <w:rPr>
                <w:b/>
                <w:bCs/>
                <w:sz w:val="18"/>
                <w:szCs w:val="18"/>
                <w:lang w:eastAsia="lt-LT"/>
              </w:rPr>
              <w:t>jamos</w:t>
            </w:r>
          </w:p>
          <w:p w14:paraId="7C496157" w14:textId="77777777" w:rsidR="00830A65" w:rsidRDefault="00830A65" w:rsidP="006A46CE">
            <w:pPr>
              <w:ind w:firstLine="0"/>
              <w:jc w:val="center"/>
              <w:rPr>
                <w:b/>
                <w:bCs/>
                <w:sz w:val="18"/>
                <w:szCs w:val="18"/>
                <w:lang w:eastAsia="lt-LT"/>
              </w:rPr>
            </w:pPr>
            <w:r>
              <w:rPr>
                <w:b/>
                <w:bCs/>
                <w:sz w:val="18"/>
                <w:szCs w:val="18"/>
                <w:lang w:eastAsia="lt-LT"/>
              </w:rPr>
              <w:t>pajamos</w:t>
            </w:r>
          </w:p>
          <w:p w14:paraId="2604362A" w14:textId="26284A68" w:rsidR="00830A65" w:rsidRPr="005B19B0" w:rsidRDefault="00830A65" w:rsidP="006A46CE">
            <w:pPr>
              <w:ind w:firstLine="0"/>
              <w:jc w:val="center"/>
              <w:rPr>
                <w:b/>
                <w:bCs/>
                <w:sz w:val="22"/>
                <w:szCs w:val="22"/>
                <w:lang w:eastAsia="lt-LT"/>
              </w:rPr>
            </w:pPr>
            <w:r>
              <w:rPr>
                <w:b/>
                <w:bCs/>
                <w:sz w:val="18"/>
                <w:szCs w:val="18"/>
                <w:lang w:eastAsia="lt-LT"/>
              </w:rPr>
              <w:t>(tūkst. Eur)</w:t>
            </w:r>
          </w:p>
        </w:tc>
        <w:tc>
          <w:tcPr>
            <w:tcW w:w="977" w:type="pct"/>
            <w:gridSpan w:val="2"/>
            <w:tcBorders>
              <w:top w:val="single" w:sz="4" w:space="0" w:color="auto"/>
              <w:left w:val="nil"/>
              <w:bottom w:val="single" w:sz="4" w:space="0" w:color="auto"/>
              <w:right w:val="single" w:sz="4" w:space="0" w:color="auto"/>
            </w:tcBorders>
            <w:shd w:val="clear" w:color="auto" w:fill="FFFF99"/>
            <w:vAlign w:val="center"/>
          </w:tcPr>
          <w:p w14:paraId="06AF9345" w14:textId="34565431" w:rsidR="00830A65" w:rsidRPr="005B19B0" w:rsidRDefault="00830A65" w:rsidP="005B19B0">
            <w:pPr>
              <w:ind w:firstLine="0"/>
              <w:jc w:val="center"/>
              <w:rPr>
                <w:b/>
                <w:bCs/>
                <w:sz w:val="22"/>
                <w:szCs w:val="22"/>
                <w:lang w:eastAsia="lt-LT"/>
              </w:rPr>
            </w:pPr>
            <w:r w:rsidRPr="005B19B0">
              <w:rPr>
                <w:b/>
                <w:bCs/>
                <w:sz w:val="18"/>
                <w:szCs w:val="18"/>
                <w:lang w:eastAsia="lt-LT"/>
              </w:rPr>
              <w:t>2023 m. palyginti su 2022 m.</w:t>
            </w:r>
          </w:p>
        </w:tc>
      </w:tr>
      <w:tr w:rsidR="00830A65" w:rsidRPr="005B19B0" w14:paraId="1FC2571E" w14:textId="77777777" w:rsidTr="00BC6AC2">
        <w:trPr>
          <w:trHeight w:val="403"/>
        </w:trPr>
        <w:tc>
          <w:tcPr>
            <w:tcW w:w="2621" w:type="pct"/>
            <w:vMerge/>
            <w:tcBorders>
              <w:left w:val="single" w:sz="4" w:space="0" w:color="auto"/>
              <w:bottom w:val="single" w:sz="4" w:space="0" w:color="auto"/>
              <w:right w:val="single" w:sz="4" w:space="0" w:color="auto"/>
            </w:tcBorders>
            <w:shd w:val="clear" w:color="auto" w:fill="FFFF99"/>
            <w:vAlign w:val="center"/>
          </w:tcPr>
          <w:p w14:paraId="72E5AB23" w14:textId="77777777" w:rsidR="00830A65" w:rsidRPr="005B19B0" w:rsidRDefault="00830A65" w:rsidP="00830A65">
            <w:pPr>
              <w:ind w:firstLine="0"/>
              <w:jc w:val="left"/>
              <w:rPr>
                <w:b/>
                <w:bCs/>
                <w:sz w:val="24"/>
                <w:szCs w:val="24"/>
                <w:lang w:eastAsia="lt-LT"/>
              </w:rPr>
            </w:pPr>
          </w:p>
        </w:tc>
        <w:tc>
          <w:tcPr>
            <w:tcW w:w="704" w:type="pct"/>
            <w:vMerge/>
            <w:tcBorders>
              <w:left w:val="nil"/>
              <w:bottom w:val="single" w:sz="4" w:space="0" w:color="auto"/>
              <w:right w:val="single" w:sz="4" w:space="0" w:color="auto"/>
            </w:tcBorders>
            <w:shd w:val="clear" w:color="auto" w:fill="FFFF99"/>
            <w:noWrap/>
            <w:vAlign w:val="center"/>
          </w:tcPr>
          <w:p w14:paraId="6FE35992" w14:textId="77777777" w:rsidR="00830A65" w:rsidRPr="005B19B0" w:rsidRDefault="00830A65" w:rsidP="00830A65">
            <w:pPr>
              <w:ind w:firstLine="0"/>
              <w:jc w:val="center"/>
              <w:rPr>
                <w:b/>
                <w:bCs/>
                <w:sz w:val="22"/>
                <w:szCs w:val="22"/>
                <w:lang w:eastAsia="lt-LT"/>
              </w:rPr>
            </w:pPr>
          </w:p>
        </w:tc>
        <w:tc>
          <w:tcPr>
            <w:tcW w:w="699" w:type="pct"/>
            <w:vMerge/>
            <w:tcBorders>
              <w:left w:val="nil"/>
              <w:bottom w:val="single" w:sz="4" w:space="0" w:color="auto"/>
              <w:right w:val="single" w:sz="4" w:space="0" w:color="auto"/>
            </w:tcBorders>
            <w:shd w:val="clear" w:color="auto" w:fill="FFFF99"/>
            <w:noWrap/>
            <w:vAlign w:val="center"/>
          </w:tcPr>
          <w:p w14:paraId="7FF0199D" w14:textId="77777777" w:rsidR="00830A65" w:rsidRPr="005B19B0" w:rsidRDefault="00830A65" w:rsidP="00830A65">
            <w:pPr>
              <w:ind w:firstLine="0"/>
              <w:jc w:val="center"/>
              <w:rPr>
                <w:b/>
                <w:bCs/>
                <w:sz w:val="22"/>
                <w:szCs w:val="22"/>
                <w:lang w:eastAsia="lt-LT"/>
              </w:rPr>
            </w:pPr>
          </w:p>
        </w:tc>
        <w:tc>
          <w:tcPr>
            <w:tcW w:w="524" w:type="pct"/>
            <w:tcBorders>
              <w:top w:val="nil"/>
              <w:left w:val="nil"/>
              <w:bottom w:val="single" w:sz="4" w:space="0" w:color="auto"/>
              <w:right w:val="single" w:sz="4" w:space="0" w:color="auto"/>
            </w:tcBorders>
            <w:shd w:val="clear" w:color="auto" w:fill="FFFF99"/>
            <w:vAlign w:val="center"/>
          </w:tcPr>
          <w:p w14:paraId="3913ABAC" w14:textId="63F797B0" w:rsidR="00830A65" w:rsidRPr="005B19B0" w:rsidRDefault="00830A65" w:rsidP="00830A65">
            <w:pPr>
              <w:ind w:firstLine="0"/>
              <w:jc w:val="center"/>
              <w:rPr>
                <w:b/>
                <w:bCs/>
                <w:sz w:val="22"/>
                <w:szCs w:val="22"/>
                <w:lang w:eastAsia="lt-LT"/>
              </w:rPr>
            </w:pPr>
            <w:r w:rsidRPr="005B19B0">
              <w:rPr>
                <w:b/>
                <w:bCs/>
                <w:sz w:val="18"/>
                <w:szCs w:val="18"/>
                <w:lang w:eastAsia="lt-LT"/>
              </w:rPr>
              <w:t>proc.</w:t>
            </w:r>
          </w:p>
        </w:tc>
        <w:tc>
          <w:tcPr>
            <w:tcW w:w="452" w:type="pct"/>
            <w:tcBorders>
              <w:top w:val="nil"/>
              <w:left w:val="nil"/>
              <w:bottom w:val="single" w:sz="4" w:space="0" w:color="auto"/>
              <w:right w:val="single" w:sz="4" w:space="0" w:color="auto"/>
            </w:tcBorders>
            <w:shd w:val="clear" w:color="auto" w:fill="FFFF99"/>
            <w:vAlign w:val="center"/>
          </w:tcPr>
          <w:p w14:paraId="42ADC744" w14:textId="3B4D4FFD" w:rsidR="00830A65" w:rsidRPr="005B19B0" w:rsidRDefault="00A6625D" w:rsidP="00830A65">
            <w:pPr>
              <w:ind w:firstLine="0"/>
              <w:jc w:val="center"/>
              <w:rPr>
                <w:b/>
                <w:bCs/>
                <w:sz w:val="22"/>
                <w:szCs w:val="22"/>
                <w:lang w:eastAsia="lt-LT"/>
              </w:rPr>
            </w:pPr>
            <w:r>
              <w:rPr>
                <w:b/>
                <w:bCs/>
                <w:sz w:val="18"/>
                <w:szCs w:val="18"/>
                <w:lang w:eastAsia="lt-LT"/>
              </w:rPr>
              <w:t>tūkst. Eur</w:t>
            </w:r>
          </w:p>
        </w:tc>
      </w:tr>
      <w:tr w:rsidR="00B23D27" w:rsidRPr="005B19B0" w14:paraId="677F2911" w14:textId="77777777" w:rsidTr="00BC6AC2">
        <w:trPr>
          <w:trHeight w:val="409"/>
        </w:trPr>
        <w:tc>
          <w:tcPr>
            <w:tcW w:w="2621" w:type="pct"/>
            <w:tcBorders>
              <w:top w:val="nil"/>
              <w:left w:val="single" w:sz="4" w:space="0" w:color="auto"/>
              <w:bottom w:val="single" w:sz="4" w:space="0" w:color="auto"/>
              <w:right w:val="single" w:sz="4" w:space="0" w:color="auto"/>
            </w:tcBorders>
            <w:shd w:val="clear" w:color="auto" w:fill="FFFF99"/>
            <w:vAlign w:val="center"/>
            <w:hideMark/>
          </w:tcPr>
          <w:p w14:paraId="05290DD1" w14:textId="77777777" w:rsidR="005B19B0" w:rsidRPr="005B19B0" w:rsidRDefault="005B19B0" w:rsidP="005B19B0">
            <w:pPr>
              <w:ind w:firstLine="0"/>
              <w:jc w:val="left"/>
              <w:rPr>
                <w:b/>
                <w:bCs/>
                <w:sz w:val="24"/>
                <w:szCs w:val="24"/>
                <w:lang w:eastAsia="lt-LT"/>
              </w:rPr>
            </w:pPr>
            <w:r w:rsidRPr="005B19B0">
              <w:rPr>
                <w:b/>
                <w:bCs/>
                <w:sz w:val="24"/>
                <w:szCs w:val="24"/>
                <w:lang w:eastAsia="lt-LT"/>
              </w:rPr>
              <w:t>Valstybės biudžeto  dotacijos (2+3)</w:t>
            </w:r>
          </w:p>
        </w:tc>
        <w:tc>
          <w:tcPr>
            <w:tcW w:w="704" w:type="pct"/>
            <w:tcBorders>
              <w:top w:val="nil"/>
              <w:left w:val="nil"/>
              <w:bottom w:val="single" w:sz="4" w:space="0" w:color="auto"/>
              <w:right w:val="single" w:sz="4" w:space="0" w:color="auto"/>
            </w:tcBorders>
            <w:shd w:val="clear" w:color="auto" w:fill="FFFF99"/>
            <w:noWrap/>
            <w:vAlign w:val="center"/>
            <w:hideMark/>
          </w:tcPr>
          <w:p w14:paraId="1303B317" w14:textId="77777777" w:rsidR="005B19B0" w:rsidRPr="005B19B0" w:rsidRDefault="005B19B0" w:rsidP="005B19B0">
            <w:pPr>
              <w:ind w:firstLine="0"/>
              <w:jc w:val="center"/>
              <w:rPr>
                <w:b/>
                <w:bCs/>
                <w:sz w:val="22"/>
                <w:szCs w:val="22"/>
                <w:lang w:eastAsia="lt-LT"/>
              </w:rPr>
            </w:pPr>
            <w:r w:rsidRPr="005B19B0">
              <w:rPr>
                <w:b/>
                <w:bCs/>
                <w:sz w:val="22"/>
                <w:szCs w:val="22"/>
                <w:lang w:eastAsia="lt-LT"/>
              </w:rPr>
              <w:t>10 423,2</w:t>
            </w:r>
          </w:p>
        </w:tc>
        <w:tc>
          <w:tcPr>
            <w:tcW w:w="699" w:type="pct"/>
            <w:tcBorders>
              <w:top w:val="nil"/>
              <w:left w:val="nil"/>
              <w:bottom w:val="single" w:sz="4" w:space="0" w:color="auto"/>
              <w:right w:val="single" w:sz="4" w:space="0" w:color="auto"/>
            </w:tcBorders>
            <w:shd w:val="clear" w:color="auto" w:fill="FFFF99"/>
            <w:noWrap/>
            <w:vAlign w:val="center"/>
            <w:hideMark/>
          </w:tcPr>
          <w:p w14:paraId="0FFA3A9F" w14:textId="77777777" w:rsidR="005B19B0" w:rsidRPr="005B19B0" w:rsidRDefault="005B19B0" w:rsidP="005B19B0">
            <w:pPr>
              <w:ind w:firstLine="0"/>
              <w:jc w:val="center"/>
              <w:rPr>
                <w:b/>
                <w:bCs/>
                <w:sz w:val="22"/>
                <w:szCs w:val="22"/>
                <w:lang w:eastAsia="lt-LT"/>
              </w:rPr>
            </w:pPr>
            <w:r w:rsidRPr="005B19B0">
              <w:rPr>
                <w:b/>
                <w:bCs/>
                <w:sz w:val="22"/>
                <w:szCs w:val="22"/>
                <w:lang w:eastAsia="lt-LT"/>
              </w:rPr>
              <w:t>9 179,6</w:t>
            </w:r>
          </w:p>
        </w:tc>
        <w:tc>
          <w:tcPr>
            <w:tcW w:w="524" w:type="pct"/>
            <w:tcBorders>
              <w:top w:val="nil"/>
              <w:left w:val="nil"/>
              <w:bottom w:val="single" w:sz="4" w:space="0" w:color="auto"/>
              <w:right w:val="single" w:sz="4" w:space="0" w:color="auto"/>
            </w:tcBorders>
            <w:shd w:val="clear" w:color="auto" w:fill="FFFF99"/>
            <w:vAlign w:val="center"/>
            <w:hideMark/>
          </w:tcPr>
          <w:p w14:paraId="0DA7A142" w14:textId="1DCCAE1A" w:rsidR="005B19B0" w:rsidRPr="005B19B0" w:rsidRDefault="005B19B0" w:rsidP="005B19B0">
            <w:pPr>
              <w:ind w:firstLine="0"/>
              <w:jc w:val="center"/>
              <w:rPr>
                <w:b/>
                <w:bCs/>
                <w:sz w:val="22"/>
                <w:szCs w:val="22"/>
                <w:lang w:eastAsia="lt-LT"/>
              </w:rPr>
            </w:pPr>
            <w:r w:rsidRPr="005B19B0">
              <w:rPr>
                <w:b/>
                <w:bCs/>
                <w:sz w:val="22"/>
                <w:szCs w:val="22"/>
                <w:lang w:eastAsia="lt-LT"/>
              </w:rPr>
              <w:t>-11,9</w:t>
            </w:r>
          </w:p>
        </w:tc>
        <w:tc>
          <w:tcPr>
            <w:tcW w:w="452" w:type="pct"/>
            <w:tcBorders>
              <w:top w:val="nil"/>
              <w:left w:val="nil"/>
              <w:bottom w:val="single" w:sz="4" w:space="0" w:color="auto"/>
              <w:right w:val="single" w:sz="4" w:space="0" w:color="auto"/>
            </w:tcBorders>
            <w:shd w:val="clear" w:color="auto" w:fill="FFFF99"/>
            <w:vAlign w:val="center"/>
            <w:hideMark/>
          </w:tcPr>
          <w:p w14:paraId="72E21CFE" w14:textId="77777777" w:rsidR="005B19B0" w:rsidRPr="005B19B0" w:rsidRDefault="005B19B0" w:rsidP="005B19B0">
            <w:pPr>
              <w:ind w:firstLine="0"/>
              <w:jc w:val="center"/>
              <w:rPr>
                <w:b/>
                <w:bCs/>
                <w:sz w:val="22"/>
                <w:szCs w:val="22"/>
                <w:lang w:eastAsia="lt-LT"/>
              </w:rPr>
            </w:pPr>
            <w:r w:rsidRPr="005B19B0">
              <w:rPr>
                <w:b/>
                <w:bCs/>
                <w:sz w:val="22"/>
                <w:szCs w:val="22"/>
                <w:lang w:eastAsia="lt-LT"/>
              </w:rPr>
              <w:t>-1243,6</w:t>
            </w:r>
          </w:p>
        </w:tc>
      </w:tr>
      <w:tr w:rsidR="00B23D27" w:rsidRPr="005B19B0" w14:paraId="340FF1EB" w14:textId="77777777" w:rsidTr="00BC6AC2">
        <w:trPr>
          <w:trHeight w:val="300"/>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457677E" w14:textId="77777777" w:rsidR="005B19B0" w:rsidRPr="005B19B0" w:rsidRDefault="005B19B0" w:rsidP="005B19B0">
            <w:pPr>
              <w:ind w:firstLine="0"/>
              <w:jc w:val="left"/>
              <w:rPr>
                <w:b/>
                <w:bCs/>
                <w:sz w:val="20"/>
                <w:lang w:eastAsia="lt-LT"/>
              </w:rPr>
            </w:pPr>
            <w:r w:rsidRPr="005B19B0">
              <w:rPr>
                <w:b/>
                <w:bCs/>
                <w:sz w:val="20"/>
                <w:lang w:eastAsia="lt-LT"/>
              </w:rPr>
              <w:t>4. Kitos pajamos</w:t>
            </w:r>
          </w:p>
        </w:tc>
        <w:tc>
          <w:tcPr>
            <w:tcW w:w="704" w:type="pct"/>
            <w:tcBorders>
              <w:top w:val="nil"/>
              <w:left w:val="nil"/>
              <w:bottom w:val="single" w:sz="4" w:space="0" w:color="auto"/>
              <w:right w:val="single" w:sz="4" w:space="0" w:color="auto"/>
            </w:tcBorders>
            <w:shd w:val="clear" w:color="000000" w:fill="FFFFFF"/>
            <w:noWrap/>
            <w:vAlign w:val="bottom"/>
            <w:hideMark/>
          </w:tcPr>
          <w:p w14:paraId="7829F8FA" w14:textId="77777777" w:rsidR="005B19B0" w:rsidRPr="005B19B0" w:rsidRDefault="005B19B0" w:rsidP="005B19B0">
            <w:pPr>
              <w:ind w:firstLine="0"/>
              <w:jc w:val="center"/>
              <w:rPr>
                <w:b/>
                <w:bCs/>
                <w:sz w:val="20"/>
                <w:lang w:eastAsia="lt-LT"/>
              </w:rPr>
            </w:pPr>
            <w:r w:rsidRPr="005B19B0">
              <w:rPr>
                <w:b/>
                <w:bCs/>
                <w:sz w:val="20"/>
                <w:lang w:eastAsia="lt-LT"/>
              </w:rPr>
              <w:t>8,0</w:t>
            </w:r>
          </w:p>
        </w:tc>
        <w:tc>
          <w:tcPr>
            <w:tcW w:w="699" w:type="pct"/>
            <w:tcBorders>
              <w:top w:val="nil"/>
              <w:left w:val="nil"/>
              <w:bottom w:val="single" w:sz="4" w:space="0" w:color="auto"/>
              <w:right w:val="single" w:sz="4" w:space="0" w:color="auto"/>
            </w:tcBorders>
            <w:shd w:val="clear" w:color="000000" w:fill="FFFFFF"/>
            <w:noWrap/>
            <w:vAlign w:val="bottom"/>
            <w:hideMark/>
          </w:tcPr>
          <w:p w14:paraId="7D419577" w14:textId="77777777" w:rsidR="005B19B0" w:rsidRPr="005B19B0" w:rsidRDefault="005B19B0" w:rsidP="005B19B0">
            <w:pPr>
              <w:ind w:firstLine="0"/>
              <w:jc w:val="center"/>
              <w:rPr>
                <w:b/>
                <w:bCs/>
                <w:sz w:val="20"/>
                <w:lang w:eastAsia="lt-LT"/>
              </w:rPr>
            </w:pPr>
            <w:r w:rsidRPr="005B19B0">
              <w:rPr>
                <w:b/>
                <w:bCs/>
                <w:sz w:val="20"/>
                <w:lang w:eastAsia="lt-LT"/>
              </w:rPr>
              <w:t>24,0</w:t>
            </w:r>
          </w:p>
        </w:tc>
        <w:tc>
          <w:tcPr>
            <w:tcW w:w="524" w:type="pct"/>
            <w:tcBorders>
              <w:top w:val="nil"/>
              <w:left w:val="nil"/>
              <w:bottom w:val="single" w:sz="4" w:space="0" w:color="auto"/>
              <w:right w:val="single" w:sz="4" w:space="0" w:color="auto"/>
            </w:tcBorders>
            <w:shd w:val="clear" w:color="auto" w:fill="auto"/>
            <w:vAlign w:val="center"/>
            <w:hideMark/>
          </w:tcPr>
          <w:p w14:paraId="580FDFCE" w14:textId="503FE9BF" w:rsidR="005B19B0" w:rsidRPr="005B19B0" w:rsidRDefault="005B19B0" w:rsidP="005B19B0">
            <w:pPr>
              <w:ind w:firstLine="0"/>
              <w:jc w:val="center"/>
              <w:rPr>
                <w:b/>
                <w:bCs/>
                <w:sz w:val="20"/>
                <w:lang w:eastAsia="lt-LT"/>
              </w:rPr>
            </w:pPr>
            <w:r w:rsidRPr="005B19B0">
              <w:rPr>
                <w:b/>
                <w:bCs/>
                <w:sz w:val="20"/>
                <w:lang w:eastAsia="lt-LT"/>
              </w:rPr>
              <w:t>200,0</w:t>
            </w:r>
          </w:p>
        </w:tc>
        <w:tc>
          <w:tcPr>
            <w:tcW w:w="452" w:type="pct"/>
            <w:tcBorders>
              <w:top w:val="nil"/>
              <w:left w:val="nil"/>
              <w:bottom w:val="single" w:sz="4" w:space="0" w:color="auto"/>
              <w:right w:val="single" w:sz="4" w:space="0" w:color="auto"/>
            </w:tcBorders>
            <w:shd w:val="clear" w:color="auto" w:fill="auto"/>
            <w:vAlign w:val="center"/>
            <w:hideMark/>
          </w:tcPr>
          <w:p w14:paraId="7409B920" w14:textId="77777777" w:rsidR="005B19B0" w:rsidRPr="005B19B0" w:rsidRDefault="005B19B0" w:rsidP="005B19B0">
            <w:pPr>
              <w:ind w:firstLine="0"/>
              <w:jc w:val="center"/>
              <w:rPr>
                <w:b/>
                <w:bCs/>
                <w:sz w:val="20"/>
                <w:lang w:eastAsia="lt-LT"/>
              </w:rPr>
            </w:pPr>
            <w:r w:rsidRPr="005B19B0">
              <w:rPr>
                <w:b/>
                <w:bCs/>
                <w:sz w:val="20"/>
                <w:lang w:eastAsia="lt-LT"/>
              </w:rPr>
              <w:t>16,0</w:t>
            </w:r>
          </w:p>
        </w:tc>
      </w:tr>
      <w:tr w:rsidR="00B23D27" w:rsidRPr="005B19B0" w14:paraId="7311FE35" w14:textId="77777777" w:rsidTr="00BC6AC2">
        <w:trPr>
          <w:trHeight w:val="30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62C0906C" w14:textId="77777777" w:rsidR="005B19B0" w:rsidRPr="005B19B0" w:rsidRDefault="005B19B0" w:rsidP="005B19B0">
            <w:pPr>
              <w:ind w:firstLine="0"/>
              <w:jc w:val="left"/>
              <w:rPr>
                <w:sz w:val="20"/>
                <w:lang w:eastAsia="lt-LT"/>
              </w:rPr>
            </w:pPr>
            <w:r w:rsidRPr="005B19B0">
              <w:rPr>
                <w:sz w:val="20"/>
                <w:lang w:eastAsia="lt-LT"/>
              </w:rPr>
              <w:t xml:space="preserve">    4.1.turto realizavimo pajamos</w:t>
            </w:r>
          </w:p>
        </w:tc>
        <w:tc>
          <w:tcPr>
            <w:tcW w:w="704" w:type="pct"/>
            <w:tcBorders>
              <w:top w:val="nil"/>
              <w:left w:val="nil"/>
              <w:bottom w:val="single" w:sz="4" w:space="0" w:color="auto"/>
              <w:right w:val="single" w:sz="4" w:space="0" w:color="auto"/>
            </w:tcBorders>
            <w:shd w:val="clear" w:color="000000" w:fill="FFFFFF"/>
            <w:noWrap/>
            <w:vAlign w:val="bottom"/>
            <w:hideMark/>
          </w:tcPr>
          <w:p w14:paraId="10716717" w14:textId="77777777" w:rsidR="005B19B0" w:rsidRPr="005B19B0" w:rsidRDefault="005B19B0" w:rsidP="005B19B0">
            <w:pPr>
              <w:ind w:firstLine="0"/>
              <w:jc w:val="center"/>
              <w:rPr>
                <w:sz w:val="20"/>
                <w:lang w:eastAsia="lt-LT"/>
              </w:rPr>
            </w:pPr>
            <w:r w:rsidRPr="005B19B0">
              <w:rPr>
                <w:sz w:val="20"/>
                <w:lang w:eastAsia="lt-LT"/>
              </w:rPr>
              <w:t>8,0</w:t>
            </w:r>
          </w:p>
        </w:tc>
        <w:tc>
          <w:tcPr>
            <w:tcW w:w="699" w:type="pct"/>
            <w:tcBorders>
              <w:top w:val="nil"/>
              <w:left w:val="nil"/>
              <w:bottom w:val="single" w:sz="4" w:space="0" w:color="auto"/>
              <w:right w:val="single" w:sz="4" w:space="0" w:color="auto"/>
            </w:tcBorders>
            <w:shd w:val="clear" w:color="000000" w:fill="FFFFFF"/>
            <w:noWrap/>
            <w:vAlign w:val="bottom"/>
            <w:hideMark/>
          </w:tcPr>
          <w:p w14:paraId="698C8763" w14:textId="77777777" w:rsidR="005B19B0" w:rsidRPr="005B19B0" w:rsidRDefault="005B19B0" w:rsidP="005B19B0">
            <w:pPr>
              <w:ind w:firstLine="0"/>
              <w:jc w:val="center"/>
              <w:rPr>
                <w:sz w:val="20"/>
                <w:lang w:eastAsia="lt-LT"/>
              </w:rPr>
            </w:pPr>
            <w:r w:rsidRPr="005B19B0">
              <w:rPr>
                <w:sz w:val="20"/>
                <w:lang w:eastAsia="lt-LT"/>
              </w:rPr>
              <w:t>24,0</w:t>
            </w:r>
          </w:p>
        </w:tc>
        <w:tc>
          <w:tcPr>
            <w:tcW w:w="524" w:type="pct"/>
            <w:tcBorders>
              <w:top w:val="nil"/>
              <w:left w:val="nil"/>
              <w:bottom w:val="single" w:sz="4" w:space="0" w:color="auto"/>
              <w:right w:val="single" w:sz="4" w:space="0" w:color="auto"/>
            </w:tcBorders>
            <w:shd w:val="clear" w:color="auto" w:fill="auto"/>
            <w:vAlign w:val="center"/>
            <w:hideMark/>
          </w:tcPr>
          <w:p w14:paraId="4F32DD58" w14:textId="3EF7171C" w:rsidR="005B19B0" w:rsidRPr="005B19B0" w:rsidRDefault="005B19B0" w:rsidP="005B19B0">
            <w:pPr>
              <w:ind w:firstLine="0"/>
              <w:jc w:val="center"/>
              <w:rPr>
                <w:sz w:val="20"/>
                <w:lang w:eastAsia="lt-LT"/>
              </w:rPr>
            </w:pPr>
            <w:r w:rsidRPr="005B19B0">
              <w:rPr>
                <w:sz w:val="20"/>
                <w:lang w:eastAsia="lt-LT"/>
              </w:rPr>
              <w:t>200,0</w:t>
            </w:r>
          </w:p>
        </w:tc>
        <w:tc>
          <w:tcPr>
            <w:tcW w:w="452" w:type="pct"/>
            <w:tcBorders>
              <w:top w:val="nil"/>
              <w:left w:val="nil"/>
              <w:bottom w:val="single" w:sz="4" w:space="0" w:color="auto"/>
              <w:right w:val="single" w:sz="4" w:space="0" w:color="auto"/>
            </w:tcBorders>
            <w:shd w:val="clear" w:color="auto" w:fill="auto"/>
            <w:vAlign w:val="center"/>
            <w:hideMark/>
          </w:tcPr>
          <w:p w14:paraId="6D6266E3" w14:textId="77777777" w:rsidR="005B19B0" w:rsidRPr="005B19B0" w:rsidRDefault="005B19B0" w:rsidP="005B19B0">
            <w:pPr>
              <w:ind w:firstLine="0"/>
              <w:jc w:val="center"/>
              <w:rPr>
                <w:sz w:val="20"/>
                <w:lang w:eastAsia="lt-LT"/>
              </w:rPr>
            </w:pPr>
            <w:r w:rsidRPr="005B19B0">
              <w:rPr>
                <w:sz w:val="20"/>
                <w:lang w:eastAsia="lt-LT"/>
              </w:rPr>
              <w:t>16,0</w:t>
            </w:r>
          </w:p>
        </w:tc>
      </w:tr>
      <w:tr w:rsidR="00B23D27" w:rsidRPr="005B19B0" w14:paraId="64E81DE7" w14:textId="77777777" w:rsidTr="00BC6AC2">
        <w:trPr>
          <w:trHeight w:val="300"/>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14523F40" w14:textId="77777777" w:rsidR="005B19B0" w:rsidRPr="005B19B0" w:rsidRDefault="005B19B0" w:rsidP="005B19B0">
            <w:pPr>
              <w:ind w:firstLine="0"/>
              <w:jc w:val="left"/>
              <w:rPr>
                <w:b/>
                <w:bCs/>
                <w:sz w:val="20"/>
                <w:lang w:eastAsia="lt-LT"/>
              </w:rPr>
            </w:pPr>
            <w:r w:rsidRPr="005B19B0">
              <w:rPr>
                <w:b/>
                <w:bCs/>
                <w:sz w:val="20"/>
                <w:lang w:eastAsia="lt-LT"/>
              </w:rPr>
              <w:t>5. Biudžetinių įstaigų pajamos už teikiamas paslaugas</w:t>
            </w:r>
          </w:p>
        </w:tc>
        <w:tc>
          <w:tcPr>
            <w:tcW w:w="704" w:type="pct"/>
            <w:tcBorders>
              <w:top w:val="nil"/>
              <w:left w:val="nil"/>
              <w:bottom w:val="single" w:sz="4" w:space="0" w:color="auto"/>
              <w:right w:val="single" w:sz="4" w:space="0" w:color="auto"/>
            </w:tcBorders>
            <w:shd w:val="clear" w:color="000000" w:fill="FFFFFF"/>
            <w:noWrap/>
            <w:vAlign w:val="bottom"/>
            <w:hideMark/>
          </w:tcPr>
          <w:p w14:paraId="325147CD" w14:textId="77777777" w:rsidR="005B19B0" w:rsidRPr="005B19B0" w:rsidRDefault="005B19B0" w:rsidP="005B19B0">
            <w:pPr>
              <w:ind w:firstLine="0"/>
              <w:jc w:val="center"/>
              <w:rPr>
                <w:b/>
                <w:bCs/>
                <w:sz w:val="20"/>
                <w:lang w:eastAsia="lt-LT"/>
              </w:rPr>
            </w:pPr>
            <w:r w:rsidRPr="005B19B0">
              <w:rPr>
                <w:b/>
                <w:bCs/>
                <w:sz w:val="20"/>
                <w:lang w:eastAsia="lt-LT"/>
              </w:rPr>
              <w:t>476,7</w:t>
            </w:r>
          </w:p>
        </w:tc>
        <w:tc>
          <w:tcPr>
            <w:tcW w:w="699" w:type="pct"/>
            <w:tcBorders>
              <w:top w:val="nil"/>
              <w:left w:val="nil"/>
              <w:bottom w:val="single" w:sz="4" w:space="0" w:color="auto"/>
              <w:right w:val="single" w:sz="4" w:space="0" w:color="auto"/>
            </w:tcBorders>
            <w:shd w:val="clear" w:color="000000" w:fill="FFFFFF"/>
            <w:noWrap/>
            <w:vAlign w:val="bottom"/>
            <w:hideMark/>
          </w:tcPr>
          <w:p w14:paraId="733C5D3C" w14:textId="77777777" w:rsidR="005B19B0" w:rsidRPr="005B19B0" w:rsidRDefault="005B19B0" w:rsidP="005B19B0">
            <w:pPr>
              <w:ind w:firstLine="0"/>
              <w:jc w:val="center"/>
              <w:rPr>
                <w:b/>
                <w:bCs/>
                <w:sz w:val="20"/>
                <w:lang w:eastAsia="lt-LT"/>
              </w:rPr>
            </w:pPr>
            <w:r w:rsidRPr="005B19B0">
              <w:rPr>
                <w:b/>
                <w:bCs/>
                <w:sz w:val="20"/>
                <w:lang w:eastAsia="lt-LT"/>
              </w:rPr>
              <w:t>575,1</w:t>
            </w:r>
          </w:p>
        </w:tc>
        <w:tc>
          <w:tcPr>
            <w:tcW w:w="524" w:type="pct"/>
            <w:tcBorders>
              <w:top w:val="nil"/>
              <w:left w:val="nil"/>
              <w:bottom w:val="single" w:sz="4" w:space="0" w:color="auto"/>
              <w:right w:val="single" w:sz="4" w:space="0" w:color="auto"/>
            </w:tcBorders>
            <w:shd w:val="clear" w:color="auto" w:fill="auto"/>
            <w:vAlign w:val="center"/>
            <w:hideMark/>
          </w:tcPr>
          <w:p w14:paraId="6DD1B7DC" w14:textId="283E5508" w:rsidR="005B19B0" w:rsidRPr="005B19B0" w:rsidRDefault="005B19B0" w:rsidP="005B19B0">
            <w:pPr>
              <w:ind w:firstLine="0"/>
              <w:jc w:val="center"/>
              <w:rPr>
                <w:b/>
                <w:bCs/>
                <w:sz w:val="20"/>
                <w:lang w:eastAsia="lt-LT"/>
              </w:rPr>
            </w:pPr>
            <w:r w:rsidRPr="005B19B0">
              <w:rPr>
                <w:b/>
                <w:bCs/>
                <w:sz w:val="20"/>
                <w:lang w:eastAsia="lt-LT"/>
              </w:rPr>
              <w:t>20,6</w:t>
            </w:r>
          </w:p>
        </w:tc>
        <w:tc>
          <w:tcPr>
            <w:tcW w:w="452" w:type="pct"/>
            <w:tcBorders>
              <w:top w:val="nil"/>
              <w:left w:val="nil"/>
              <w:bottom w:val="single" w:sz="4" w:space="0" w:color="auto"/>
              <w:right w:val="single" w:sz="4" w:space="0" w:color="auto"/>
            </w:tcBorders>
            <w:shd w:val="clear" w:color="auto" w:fill="auto"/>
            <w:vAlign w:val="center"/>
            <w:hideMark/>
          </w:tcPr>
          <w:p w14:paraId="218776DF" w14:textId="77777777" w:rsidR="005B19B0" w:rsidRPr="005B19B0" w:rsidRDefault="005B19B0" w:rsidP="005B19B0">
            <w:pPr>
              <w:ind w:firstLine="0"/>
              <w:jc w:val="center"/>
              <w:rPr>
                <w:b/>
                <w:bCs/>
                <w:sz w:val="20"/>
                <w:lang w:eastAsia="lt-LT"/>
              </w:rPr>
            </w:pPr>
            <w:r w:rsidRPr="005B19B0">
              <w:rPr>
                <w:b/>
                <w:bCs/>
                <w:sz w:val="20"/>
                <w:lang w:eastAsia="lt-LT"/>
              </w:rPr>
              <w:t>98,4</w:t>
            </w:r>
          </w:p>
        </w:tc>
      </w:tr>
      <w:tr w:rsidR="00B23D27" w:rsidRPr="005B19B0" w14:paraId="3AB80557" w14:textId="77777777" w:rsidTr="00BC6AC2">
        <w:trPr>
          <w:trHeight w:val="300"/>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37D01F67" w14:textId="77777777" w:rsidR="005B19B0" w:rsidRPr="005B19B0" w:rsidRDefault="005B19B0" w:rsidP="005B19B0">
            <w:pPr>
              <w:ind w:firstLine="0"/>
              <w:jc w:val="left"/>
              <w:rPr>
                <w:b/>
                <w:bCs/>
                <w:sz w:val="20"/>
                <w:lang w:eastAsia="lt-LT"/>
              </w:rPr>
            </w:pPr>
            <w:r w:rsidRPr="005B19B0">
              <w:rPr>
                <w:b/>
                <w:bCs/>
                <w:sz w:val="20"/>
                <w:lang w:eastAsia="lt-LT"/>
              </w:rPr>
              <w:t>6. Aplinkos apsaugos rėmimo specialioji programa</w:t>
            </w:r>
          </w:p>
        </w:tc>
        <w:tc>
          <w:tcPr>
            <w:tcW w:w="704" w:type="pct"/>
            <w:tcBorders>
              <w:top w:val="nil"/>
              <w:left w:val="nil"/>
              <w:bottom w:val="single" w:sz="4" w:space="0" w:color="auto"/>
              <w:right w:val="single" w:sz="4" w:space="0" w:color="auto"/>
            </w:tcBorders>
            <w:shd w:val="clear" w:color="000000" w:fill="FFFFFF"/>
            <w:noWrap/>
            <w:vAlign w:val="bottom"/>
            <w:hideMark/>
          </w:tcPr>
          <w:p w14:paraId="46518F41" w14:textId="77777777" w:rsidR="005B19B0" w:rsidRPr="005B19B0" w:rsidRDefault="005B19B0" w:rsidP="005B19B0">
            <w:pPr>
              <w:ind w:firstLine="0"/>
              <w:jc w:val="center"/>
              <w:rPr>
                <w:b/>
                <w:bCs/>
                <w:sz w:val="20"/>
                <w:lang w:eastAsia="lt-LT"/>
              </w:rPr>
            </w:pPr>
            <w:r w:rsidRPr="005B19B0">
              <w:rPr>
                <w:b/>
                <w:bCs/>
                <w:sz w:val="20"/>
                <w:lang w:eastAsia="lt-LT"/>
              </w:rPr>
              <w:t>103,0</w:t>
            </w:r>
          </w:p>
        </w:tc>
        <w:tc>
          <w:tcPr>
            <w:tcW w:w="699" w:type="pct"/>
            <w:tcBorders>
              <w:top w:val="nil"/>
              <w:left w:val="nil"/>
              <w:bottom w:val="single" w:sz="4" w:space="0" w:color="auto"/>
              <w:right w:val="single" w:sz="4" w:space="0" w:color="auto"/>
            </w:tcBorders>
            <w:shd w:val="clear" w:color="000000" w:fill="FFFFFF"/>
            <w:noWrap/>
            <w:vAlign w:val="bottom"/>
            <w:hideMark/>
          </w:tcPr>
          <w:p w14:paraId="41F18C7A" w14:textId="77777777" w:rsidR="005B19B0" w:rsidRPr="005B19B0" w:rsidRDefault="005B19B0" w:rsidP="005B19B0">
            <w:pPr>
              <w:ind w:firstLine="0"/>
              <w:jc w:val="center"/>
              <w:rPr>
                <w:b/>
                <w:bCs/>
                <w:sz w:val="20"/>
                <w:lang w:eastAsia="lt-LT"/>
              </w:rPr>
            </w:pPr>
            <w:r w:rsidRPr="005B19B0">
              <w:rPr>
                <w:b/>
                <w:bCs/>
                <w:sz w:val="20"/>
                <w:lang w:eastAsia="lt-LT"/>
              </w:rPr>
              <w:t>132,0</w:t>
            </w:r>
          </w:p>
        </w:tc>
        <w:tc>
          <w:tcPr>
            <w:tcW w:w="524" w:type="pct"/>
            <w:tcBorders>
              <w:top w:val="nil"/>
              <w:left w:val="nil"/>
              <w:bottom w:val="single" w:sz="4" w:space="0" w:color="auto"/>
              <w:right w:val="single" w:sz="4" w:space="0" w:color="auto"/>
            </w:tcBorders>
            <w:shd w:val="clear" w:color="auto" w:fill="auto"/>
            <w:vAlign w:val="center"/>
            <w:hideMark/>
          </w:tcPr>
          <w:p w14:paraId="6AA6F252" w14:textId="7A50CECC" w:rsidR="005B19B0" w:rsidRPr="005B19B0" w:rsidRDefault="005B19B0" w:rsidP="005B19B0">
            <w:pPr>
              <w:ind w:firstLine="0"/>
              <w:jc w:val="center"/>
              <w:rPr>
                <w:b/>
                <w:bCs/>
                <w:sz w:val="20"/>
                <w:lang w:eastAsia="lt-LT"/>
              </w:rPr>
            </w:pPr>
            <w:r w:rsidRPr="005B19B0">
              <w:rPr>
                <w:b/>
                <w:bCs/>
                <w:sz w:val="20"/>
                <w:lang w:eastAsia="lt-LT"/>
              </w:rPr>
              <w:t>28,2</w:t>
            </w:r>
          </w:p>
        </w:tc>
        <w:tc>
          <w:tcPr>
            <w:tcW w:w="452" w:type="pct"/>
            <w:tcBorders>
              <w:top w:val="nil"/>
              <w:left w:val="nil"/>
              <w:bottom w:val="single" w:sz="4" w:space="0" w:color="auto"/>
              <w:right w:val="single" w:sz="4" w:space="0" w:color="auto"/>
            </w:tcBorders>
            <w:shd w:val="clear" w:color="auto" w:fill="auto"/>
            <w:vAlign w:val="center"/>
            <w:hideMark/>
          </w:tcPr>
          <w:p w14:paraId="21AB1101" w14:textId="77777777" w:rsidR="005B19B0" w:rsidRPr="005B19B0" w:rsidRDefault="005B19B0" w:rsidP="005B19B0">
            <w:pPr>
              <w:ind w:firstLine="0"/>
              <w:jc w:val="center"/>
              <w:rPr>
                <w:b/>
                <w:bCs/>
                <w:sz w:val="20"/>
                <w:lang w:eastAsia="lt-LT"/>
              </w:rPr>
            </w:pPr>
            <w:r w:rsidRPr="005B19B0">
              <w:rPr>
                <w:b/>
                <w:bCs/>
                <w:sz w:val="20"/>
                <w:lang w:eastAsia="lt-LT"/>
              </w:rPr>
              <w:t>29,0</w:t>
            </w:r>
          </w:p>
        </w:tc>
      </w:tr>
      <w:tr w:rsidR="00B23D27" w:rsidRPr="005B19B0" w14:paraId="316E6027" w14:textId="77777777" w:rsidTr="00BC6AC2">
        <w:trPr>
          <w:trHeight w:val="278"/>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40B1BA5D" w14:textId="77777777" w:rsidR="005B19B0" w:rsidRPr="005B19B0" w:rsidRDefault="005B19B0" w:rsidP="005B19B0">
            <w:pPr>
              <w:ind w:firstLine="0"/>
              <w:jc w:val="left"/>
              <w:rPr>
                <w:sz w:val="20"/>
                <w:lang w:eastAsia="lt-LT"/>
              </w:rPr>
            </w:pPr>
            <w:r w:rsidRPr="005B19B0">
              <w:rPr>
                <w:sz w:val="20"/>
                <w:lang w:eastAsia="lt-LT"/>
              </w:rPr>
              <w:t xml:space="preserve">        6.1. mokestis už aplinkos teršimą</w:t>
            </w:r>
          </w:p>
        </w:tc>
        <w:tc>
          <w:tcPr>
            <w:tcW w:w="704" w:type="pct"/>
            <w:tcBorders>
              <w:top w:val="nil"/>
              <w:left w:val="nil"/>
              <w:bottom w:val="single" w:sz="4" w:space="0" w:color="auto"/>
              <w:right w:val="single" w:sz="4" w:space="0" w:color="auto"/>
            </w:tcBorders>
            <w:shd w:val="clear" w:color="000000" w:fill="FFFFFF"/>
            <w:noWrap/>
            <w:vAlign w:val="bottom"/>
            <w:hideMark/>
          </w:tcPr>
          <w:p w14:paraId="7D4760DE" w14:textId="77777777" w:rsidR="005B19B0" w:rsidRPr="005B19B0" w:rsidRDefault="005B19B0" w:rsidP="005B19B0">
            <w:pPr>
              <w:ind w:firstLine="0"/>
              <w:jc w:val="center"/>
              <w:rPr>
                <w:sz w:val="20"/>
                <w:lang w:eastAsia="lt-LT"/>
              </w:rPr>
            </w:pPr>
            <w:r w:rsidRPr="005B19B0">
              <w:rPr>
                <w:sz w:val="20"/>
                <w:lang w:eastAsia="lt-LT"/>
              </w:rPr>
              <w:t>18,0</w:t>
            </w:r>
          </w:p>
        </w:tc>
        <w:tc>
          <w:tcPr>
            <w:tcW w:w="699" w:type="pct"/>
            <w:tcBorders>
              <w:top w:val="nil"/>
              <w:left w:val="nil"/>
              <w:bottom w:val="single" w:sz="4" w:space="0" w:color="auto"/>
              <w:right w:val="single" w:sz="4" w:space="0" w:color="auto"/>
            </w:tcBorders>
            <w:shd w:val="clear" w:color="000000" w:fill="FFFFFF"/>
            <w:noWrap/>
            <w:vAlign w:val="bottom"/>
            <w:hideMark/>
          </w:tcPr>
          <w:p w14:paraId="365C11BF" w14:textId="77777777" w:rsidR="005B19B0" w:rsidRPr="005B19B0" w:rsidRDefault="005B19B0" w:rsidP="005B19B0">
            <w:pPr>
              <w:ind w:firstLine="0"/>
              <w:jc w:val="center"/>
              <w:rPr>
                <w:sz w:val="20"/>
                <w:lang w:eastAsia="lt-LT"/>
              </w:rPr>
            </w:pPr>
            <w:r w:rsidRPr="005B19B0">
              <w:rPr>
                <w:sz w:val="20"/>
                <w:lang w:eastAsia="lt-LT"/>
              </w:rPr>
              <w:t>37,0</w:t>
            </w:r>
          </w:p>
        </w:tc>
        <w:tc>
          <w:tcPr>
            <w:tcW w:w="524" w:type="pct"/>
            <w:tcBorders>
              <w:top w:val="nil"/>
              <w:left w:val="nil"/>
              <w:bottom w:val="single" w:sz="4" w:space="0" w:color="auto"/>
              <w:right w:val="single" w:sz="4" w:space="0" w:color="auto"/>
            </w:tcBorders>
            <w:shd w:val="clear" w:color="auto" w:fill="auto"/>
            <w:vAlign w:val="center"/>
            <w:hideMark/>
          </w:tcPr>
          <w:p w14:paraId="052191D9" w14:textId="091A5F79" w:rsidR="005B19B0" w:rsidRPr="005B19B0" w:rsidRDefault="005B19B0" w:rsidP="005B19B0">
            <w:pPr>
              <w:ind w:firstLine="0"/>
              <w:jc w:val="center"/>
              <w:rPr>
                <w:sz w:val="20"/>
                <w:lang w:eastAsia="lt-LT"/>
              </w:rPr>
            </w:pPr>
            <w:r w:rsidRPr="005B19B0">
              <w:rPr>
                <w:sz w:val="20"/>
                <w:lang w:eastAsia="lt-LT"/>
              </w:rPr>
              <w:t>105,6</w:t>
            </w:r>
          </w:p>
        </w:tc>
        <w:tc>
          <w:tcPr>
            <w:tcW w:w="452" w:type="pct"/>
            <w:tcBorders>
              <w:top w:val="nil"/>
              <w:left w:val="nil"/>
              <w:bottom w:val="single" w:sz="4" w:space="0" w:color="auto"/>
              <w:right w:val="single" w:sz="4" w:space="0" w:color="auto"/>
            </w:tcBorders>
            <w:shd w:val="clear" w:color="auto" w:fill="auto"/>
            <w:vAlign w:val="center"/>
            <w:hideMark/>
          </w:tcPr>
          <w:p w14:paraId="73E4F3EA" w14:textId="77777777" w:rsidR="005B19B0" w:rsidRPr="005B19B0" w:rsidRDefault="005B19B0" w:rsidP="005B19B0">
            <w:pPr>
              <w:ind w:firstLine="0"/>
              <w:jc w:val="center"/>
              <w:rPr>
                <w:sz w:val="20"/>
                <w:lang w:eastAsia="lt-LT"/>
              </w:rPr>
            </w:pPr>
            <w:r w:rsidRPr="005B19B0">
              <w:rPr>
                <w:sz w:val="20"/>
                <w:lang w:eastAsia="lt-LT"/>
              </w:rPr>
              <w:t>19,0</w:t>
            </w:r>
          </w:p>
        </w:tc>
      </w:tr>
      <w:tr w:rsidR="00B23D27" w:rsidRPr="005B19B0" w14:paraId="425158CC" w14:textId="77777777" w:rsidTr="00BC6AC2">
        <w:trPr>
          <w:trHeight w:val="278"/>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726B93A7" w14:textId="77777777" w:rsidR="005B19B0" w:rsidRPr="005B19B0" w:rsidRDefault="005B19B0" w:rsidP="005B19B0">
            <w:pPr>
              <w:ind w:firstLine="0"/>
              <w:jc w:val="left"/>
              <w:rPr>
                <w:sz w:val="20"/>
                <w:lang w:eastAsia="lt-LT"/>
              </w:rPr>
            </w:pPr>
            <w:r w:rsidRPr="005B19B0">
              <w:rPr>
                <w:sz w:val="20"/>
                <w:lang w:eastAsia="lt-LT"/>
              </w:rPr>
              <w:t xml:space="preserve">        6.2. mokestis už valstybinius gamtos išteklius</w:t>
            </w:r>
          </w:p>
        </w:tc>
        <w:tc>
          <w:tcPr>
            <w:tcW w:w="704" w:type="pct"/>
            <w:tcBorders>
              <w:top w:val="nil"/>
              <w:left w:val="nil"/>
              <w:bottom w:val="single" w:sz="4" w:space="0" w:color="auto"/>
              <w:right w:val="single" w:sz="4" w:space="0" w:color="auto"/>
            </w:tcBorders>
            <w:shd w:val="clear" w:color="000000" w:fill="FFFFFF"/>
            <w:noWrap/>
            <w:vAlign w:val="bottom"/>
            <w:hideMark/>
          </w:tcPr>
          <w:p w14:paraId="240C658E" w14:textId="77777777" w:rsidR="005B19B0" w:rsidRPr="005B19B0" w:rsidRDefault="005B19B0" w:rsidP="005B19B0">
            <w:pPr>
              <w:ind w:firstLine="0"/>
              <w:jc w:val="center"/>
              <w:rPr>
                <w:sz w:val="20"/>
                <w:lang w:eastAsia="lt-LT"/>
              </w:rPr>
            </w:pPr>
            <w:r w:rsidRPr="005B19B0">
              <w:rPr>
                <w:sz w:val="20"/>
                <w:lang w:eastAsia="lt-LT"/>
              </w:rPr>
              <w:t>50,0</w:t>
            </w:r>
          </w:p>
        </w:tc>
        <w:tc>
          <w:tcPr>
            <w:tcW w:w="699" w:type="pct"/>
            <w:tcBorders>
              <w:top w:val="nil"/>
              <w:left w:val="nil"/>
              <w:bottom w:val="single" w:sz="4" w:space="0" w:color="auto"/>
              <w:right w:val="single" w:sz="4" w:space="0" w:color="auto"/>
            </w:tcBorders>
            <w:shd w:val="clear" w:color="000000" w:fill="FFFFFF"/>
            <w:noWrap/>
            <w:vAlign w:val="bottom"/>
            <w:hideMark/>
          </w:tcPr>
          <w:p w14:paraId="0AA0C40B" w14:textId="77777777" w:rsidR="005B19B0" w:rsidRPr="005B19B0" w:rsidRDefault="005B19B0" w:rsidP="005B19B0">
            <w:pPr>
              <w:ind w:firstLine="0"/>
              <w:jc w:val="center"/>
              <w:rPr>
                <w:sz w:val="20"/>
                <w:lang w:eastAsia="lt-LT"/>
              </w:rPr>
            </w:pPr>
            <w:r w:rsidRPr="005B19B0">
              <w:rPr>
                <w:sz w:val="20"/>
                <w:lang w:eastAsia="lt-LT"/>
              </w:rPr>
              <w:t>50,0</w:t>
            </w:r>
          </w:p>
        </w:tc>
        <w:tc>
          <w:tcPr>
            <w:tcW w:w="524" w:type="pct"/>
            <w:tcBorders>
              <w:top w:val="nil"/>
              <w:left w:val="nil"/>
              <w:bottom w:val="single" w:sz="4" w:space="0" w:color="auto"/>
              <w:right w:val="single" w:sz="4" w:space="0" w:color="auto"/>
            </w:tcBorders>
            <w:shd w:val="clear" w:color="auto" w:fill="auto"/>
            <w:vAlign w:val="center"/>
            <w:hideMark/>
          </w:tcPr>
          <w:p w14:paraId="548D8A19" w14:textId="53CD6612" w:rsidR="005B19B0" w:rsidRPr="005B19B0" w:rsidRDefault="005B19B0" w:rsidP="005B19B0">
            <w:pPr>
              <w:ind w:firstLine="0"/>
              <w:jc w:val="center"/>
              <w:rPr>
                <w:sz w:val="20"/>
                <w:lang w:eastAsia="lt-LT"/>
              </w:rPr>
            </w:pPr>
            <w:r w:rsidRPr="005B19B0">
              <w:rPr>
                <w:sz w:val="20"/>
                <w:lang w:eastAsia="lt-LT"/>
              </w:rPr>
              <w:t>0,0</w:t>
            </w:r>
          </w:p>
        </w:tc>
        <w:tc>
          <w:tcPr>
            <w:tcW w:w="452" w:type="pct"/>
            <w:tcBorders>
              <w:top w:val="nil"/>
              <w:left w:val="nil"/>
              <w:bottom w:val="single" w:sz="4" w:space="0" w:color="auto"/>
              <w:right w:val="single" w:sz="4" w:space="0" w:color="auto"/>
            </w:tcBorders>
            <w:shd w:val="clear" w:color="auto" w:fill="auto"/>
            <w:vAlign w:val="center"/>
            <w:hideMark/>
          </w:tcPr>
          <w:p w14:paraId="54F7D273" w14:textId="77777777" w:rsidR="005B19B0" w:rsidRPr="005B19B0" w:rsidRDefault="005B19B0" w:rsidP="005B19B0">
            <w:pPr>
              <w:ind w:firstLine="0"/>
              <w:jc w:val="center"/>
              <w:rPr>
                <w:sz w:val="20"/>
                <w:lang w:eastAsia="lt-LT"/>
              </w:rPr>
            </w:pPr>
            <w:r w:rsidRPr="005B19B0">
              <w:rPr>
                <w:sz w:val="20"/>
                <w:lang w:eastAsia="lt-LT"/>
              </w:rPr>
              <w:t>0,0</w:t>
            </w:r>
          </w:p>
        </w:tc>
      </w:tr>
      <w:tr w:rsidR="00B23D27" w:rsidRPr="005B19B0" w14:paraId="182B709F" w14:textId="77777777" w:rsidTr="00BC6AC2">
        <w:trPr>
          <w:trHeight w:val="278"/>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45C86DD7" w14:textId="77777777" w:rsidR="005B19B0" w:rsidRPr="005B19B0" w:rsidRDefault="005B19B0" w:rsidP="005B19B0">
            <w:pPr>
              <w:ind w:firstLine="0"/>
              <w:jc w:val="left"/>
              <w:rPr>
                <w:sz w:val="20"/>
                <w:lang w:eastAsia="lt-LT"/>
              </w:rPr>
            </w:pPr>
            <w:r w:rsidRPr="005B19B0">
              <w:rPr>
                <w:sz w:val="20"/>
                <w:lang w:eastAsia="lt-LT"/>
              </w:rPr>
              <w:t xml:space="preserve">        6.3. medžiojamųjų gyvūnų mokestis</w:t>
            </w:r>
          </w:p>
        </w:tc>
        <w:tc>
          <w:tcPr>
            <w:tcW w:w="704" w:type="pct"/>
            <w:tcBorders>
              <w:top w:val="nil"/>
              <w:left w:val="nil"/>
              <w:bottom w:val="single" w:sz="4" w:space="0" w:color="auto"/>
              <w:right w:val="single" w:sz="4" w:space="0" w:color="auto"/>
            </w:tcBorders>
            <w:shd w:val="clear" w:color="000000" w:fill="FFFFFF"/>
            <w:noWrap/>
            <w:vAlign w:val="bottom"/>
            <w:hideMark/>
          </w:tcPr>
          <w:p w14:paraId="352AA1E1" w14:textId="77777777" w:rsidR="005B19B0" w:rsidRPr="005B19B0" w:rsidRDefault="005B19B0" w:rsidP="005B19B0">
            <w:pPr>
              <w:ind w:firstLine="0"/>
              <w:jc w:val="center"/>
              <w:rPr>
                <w:sz w:val="20"/>
                <w:lang w:eastAsia="lt-LT"/>
              </w:rPr>
            </w:pPr>
            <w:r w:rsidRPr="005B19B0">
              <w:rPr>
                <w:sz w:val="20"/>
                <w:lang w:eastAsia="lt-LT"/>
              </w:rPr>
              <w:t>35,0</w:t>
            </w:r>
          </w:p>
        </w:tc>
        <w:tc>
          <w:tcPr>
            <w:tcW w:w="699" w:type="pct"/>
            <w:tcBorders>
              <w:top w:val="nil"/>
              <w:left w:val="nil"/>
              <w:bottom w:val="single" w:sz="4" w:space="0" w:color="auto"/>
              <w:right w:val="single" w:sz="4" w:space="0" w:color="auto"/>
            </w:tcBorders>
            <w:shd w:val="clear" w:color="000000" w:fill="FFFFFF"/>
            <w:noWrap/>
            <w:vAlign w:val="bottom"/>
            <w:hideMark/>
          </w:tcPr>
          <w:p w14:paraId="3F91073C" w14:textId="77777777" w:rsidR="005B19B0" w:rsidRPr="005B19B0" w:rsidRDefault="005B19B0" w:rsidP="005B19B0">
            <w:pPr>
              <w:ind w:firstLine="0"/>
              <w:jc w:val="center"/>
              <w:rPr>
                <w:sz w:val="20"/>
                <w:lang w:eastAsia="lt-LT"/>
              </w:rPr>
            </w:pPr>
            <w:r w:rsidRPr="005B19B0">
              <w:rPr>
                <w:sz w:val="20"/>
                <w:lang w:eastAsia="lt-LT"/>
              </w:rPr>
              <w:t>45,0</w:t>
            </w:r>
          </w:p>
        </w:tc>
        <w:tc>
          <w:tcPr>
            <w:tcW w:w="524" w:type="pct"/>
            <w:tcBorders>
              <w:top w:val="nil"/>
              <w:left w:val="nil"/>
              <w:bottom w:val="single" w:sz="4" w:space="0" w:color="auto"/>
              <w:right w:val="single" w:sz="4" w:space="0" w:color="auto"/>
            </w:tcBorders>
            <w:shd w:val="clear" w:color="auto" w:fill="auto"/>
            <w:vAlign w:val="center"/>
            <w:hideMark/>
          </w:tcPr>
          <w:p w14:paraId="39CF621D" w14:textId="09D19476" w:rsidR="005B19B0" w:rsidRPr="005B19B0" w:rsidRDefault="005B19B0" w:rsidP="005B19B0">
            <w:pPr>
              <w:ind w:firstLine="0"/>
              <w:jc w:val="center"/>
              <w:rPr>
                <w:sz w:val="20"/>
                <w:lang w:eastAsia="lt-LT"/>
              </w:rPr>
            </w:pPr>
            <w:r w:rsidRPr="005B19B0">
              <w:rPr>
                <w:sz w:val="20"/>
                <w:lang w:eastAsia="lt-LT"/>
              </w:rPr>
              <w:t>28,6</w:t>
            </w:r>
          </w:p>
        </w:tc>
        <w:tc>
          <w:tcPr>
            <w:tcW w:w="452" w:type="pct"/>
            <w:tcBorders>
              <w:top w:val="nil"/>
              <w:left w:val="nil"/>
              <w:bottom w:val="single" w:sz="4" w:space="0" w:color="auto"/>
              <w:right w:val="single" w:sz="4" w:space="0" w:color="auto"/>
            </w:tcBorders>
            <w:shd w:val="clear" w:color="auto" w:fill="auto"/>
            <w:vAlign w:val="center"/>
            <w:hideMark/>
          </w:tcPr>
          <w:p w14:paraId="63F3B9CA" w14:textId="77777777" w:rsidR="005B19B0" w:rsidRPr="005B19B0" w:rsidRDefault="005B19B0" w:rsidP="005B19B0">
            <w:pPr>
              <w:ind w:firstLine="0"/>
              <w:jc w:val="center"/>
              <w:rPr>
                <w:sz w:val="20"/>
                <w:lang w:eastAsia="lt-LT"/>
              </w:rPr>
            </w:pPr>
            <w:r w:rsidRPr="005B19B0">
              <w:rPr>
                <w:sz w:val="20"/>
                <w:lang w:eastAsia="lt-LT"/>
              </w:rPr>
              <w:t>10,0</w:t>
            </w:r>
          </w:p>
        </w:tc>
      </w:tr>
      <w:tr w:rsidR="00B23D27" w:rsidRPr="005B19B0" w14:paraId="254484A6"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noWrap/>
            <w:vAlign w:val="bottom"/>
            <w:hideMark/>
          </w:tcPr>
          <w:p w14:paraId="558C4F5D" w14:textId="77777777" w:rsidR="005B19B0" w:rsidRPr="005B19B0" w:rsidRDefault="005B19B0" w:rsidP="005B19B0">
            <w:pPr>
              <w:ind w:firstLine="0"/>
              <w:jc w:val="left"/>
              <w:rPr>
                <w:b/>
                <w:bCs/>
                <w:sz w:val="20"/>
                <w:lang w:eastAsia="lt-LT"/>
              </w:rPr>
            </w:pPr>
            <w:r w:rsidRPr="005B19B0">
              <w:rPr>
                <w:b/>
                <w:bCs/>
                <w:sz w:val="20"/>
                <w:lang w:eastAsia="lt-LT"/>
              </w:rPr>
              <w:t>7. Vietinės rinkliavos</w:t>
            </w:r>
          </w:p>
        </w:tc>
        <w:tc>
          <w:tcPr>
            <w:tcW w:w="704" w:type="pct"/>
            <w:tcBorders>
              <w:top w:val="nil"/>
              <w:left w:val="nil"/>
              <w:bottom w:val="single" w:sz="4" w:space="0" w:color="auto"/>
              <w:right w:val="single" w:sz="4" w:space="0" w:color="auto"/>
            </w:tcBorders>
            <w:shd w:val="clear" w:color="000000" w:fill="FFFFFF"/>
            <w:noWrap/>
            <w:vAlign w:val="bottom"/>
            <w:hideMark/>
          </w:tcPr>
          <w:p w14:paraId="02CD8731" w14:textId="77777777" w:rsidR="005B19B0" w:rsidRPr="005B19B0" w:rsidRDefault="005B19B0" w:rsidP="005B19B0">
            <w:pPr>
              <w:ind w:firstLine="0"/>
              <w:jc w:val="center"/>
              <w:rPr>
                <w:b/>
                <w:bCs/>
                <w:sz w:val="20"/>
                <w:lang w:eastAsia="lt-LT"/>
              </w:rPr>
            </w:pPr>
            <w:r w:rsidRPr="005B19B0">
              <w:rPr>
                <w:b/>
                <w:bCs/>
                <w:sz w:val="20"/>
                <w:lang w:eastAsia="lt-LT"/>
              </w:rPr>
              <w:t>610,0</w:t>
            </w:r>
          </w:p>
        </w:tc>
        <w:tc>
          <w:tcPr>
            <w:tcW w:w="699" w:type="pct"/>
            <w:tcBorders>
              <w:top w:val="nil"/>
              <w:left w:val="nil"/>
              <w:bottom w:val="single" w:sz="4" w:space="0" w:color="auto"/>
              <w:right w:val="single" w:sz="4" w:space="0" w:color="auto"/>
            </w:tcBorders>
            <w:shd w:val="clear" w:color="000000" w:fill="FFFFFF"/>
            <w:noWrap/>
            <w:vAlign w:val="bottom"/>
            <w:hideMark/>
          </w:tcPr>
          <w:p w14:paraId="21C82590" w14:textId="77777777" w:rsidR="005B19B0" w:rsidRPr="005B19B0" w:rsidRDefault="005B19B0" w:rsidP="005B19B0">
            <w:pPr>
              <w:ind w:firstLine="0"/>
              <w:jc w:val="center"/>
              <w:rPr>
                <w:b/>
                <w:bCs/>
                <w:sz w:val="20"/>
                <w:lang w:eastAsia="lt-LT"/>
              </w:rPr>
            </w:pPr>
            <w:r w:rsidRPr="005B19B0">
              <w:rPr>
                <w:b/>
                <w:bCs/>
                <w:sz w:val="20"/>
                <w:lang w:eastAsia="lt-LT"/>
              </w:rPr>
              <w:t>670,0</w:t>
            </w:r>
          </w:p>
        </w:tc>
        <w:tc>
          <w:tcPr>
            <w:tcW w:w="524" w:type="pct"/>
            <w:tcBorders>
              <w:top w:val="nil"/>
              <w:left w:val="nil"/>
              <w:bottom w:val="single" w:sz="4" w:space="0" w:color="auto"/>
              <w:right w:val="single" w:sz="4" w:space="0" w:color="auto"/>
            </w:tcBorders>
            <w:shd w:val="clear" w:color="auto" w:fill="auto"/>
            <w:vAlign w:val="center"/>
            <w:hideMark/>
          </w:tcPr>
          <w:p w14:paraId="1655D916" w14:textId="48393720" w:rsidR="005B19B0" w:rsidRPr="005B19B0" w:rsidRDefault="005B19B0" w:rsidP="005B19B0">
            <w:pPr>
              <w:ind w:firstLine="0"/>
              <w:jc w:val="center"/>
              <w:rPr>
                <w:b/>
                <w:bCs/>
                <w:sz w:val="20"/>
                <w:lang w:eastAsia="lt-LT"/>
              </w:rPr>
            </w:pPr>
            <w:r w:rsidRPr="005B19B0">
              <w:rPr>
                <w:b/>
                <w:bCs/>
                <w:sz w:val="20"/>
                <w:lang w:eastAsia="lt-LT"/>
              </w:rPr>
              <w:t>9,8</w:t>
            </w:r>
          </w:p>
        </w:tc>
        <w:tc>
          <w:tcPr>
            <w:tcW w:w="452" w:type="pct"/>
            <w:tcBorders>
              <w:top w:val="nil"/>
              <w:left w:val="nil"/>
              <w:bottom w:val="single" w:sz="4" w:space="0" w:color="auto"/>
              <w:right w:val="single" w:sz="4" w:space="0" w:color="auto"/>
            </w:tcBorders>
            <w:shd w:val="clear" w:color="auto" w:fill="auto"/>
            <w:vAlign w:val="center"/>
            <w:hideMark/>
          </w:tcPr>
          <w:p w14:paraId="7675EE51" w14:textId="77777777" w:rsidR="005B19B0" w:rsidRPr="005B19B0" w:rsidRDefault="005B19B0" w:rsidP="005B19B0">
            <w:pPr>
              <w:ind w:firstLine="0"/>
              <w:jc w:val="center"/>
              <w:rPr>
                <w:b/>
                <w:bCs/>
                <w:sz w:val="20"/>
                <w:lang w:eastAsia="lt-LT"/>
              </w:rPr>
            </w:pPr>
            <w:r w:rsidRPr="005B19B0">
              <w:rPr>
                <w:b/>
                <w:bCs/>
                <w:sz w:val="20"/>
                <w:lang w:eastAsia="lt-LT"/>
              </w:rPr>
              <w:t>60,0</w:t>
            </w:r>
          </w:p>
        </w:tc>
      </w:tr>
      <w:tr w:rsidR="00B23D27" w:rsidRPr="005B19B0" w14:paraId="52B1F0A0"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50A1AB72" w14:textId="77777777" w:rsidR="005B19B0" w:rsidRPr="005B19B0" w:rsidRDefault="005B19B0" w:rsidP="005B19B0">
            <w:pPr>
              <w:ind w:firstLine="0"/>
              <w:jc w:val="left"/>
              <w:rPr>
                <w:sz w:val="20"/>
                <w:lang w:eastAsia="lt-LT"/>
              </w:rPr>
            </w:pPr>
            <w:r w:rsidRPr="005B19B0">
              <w:rPr>
                <w:sz w:val="20"/>
                <w:lang w:eastAsia="lt-LT"/>
              </w:rPr>
              <w:t xml:space="preserve">    7.1. komunalinių atliekų surinkimo</w:t>
            </w:r>
          </w:p>
        </w:tc>
        <w:tc>
          <w:tcPr>
            <w:tcW w:w="704" w:type="pct"/>
            <w:tcBorders>
              <w:top w:val="nil"/>
              <w:left w:val="nil"/>
              <w:bottom w:val="single" w:sz="4" w:space="0" w:color="auto"/>
              <w:right w:val="single" w:sz="4" w:space="0" w:color="auto"/>
            </w:tcBorders>
            <w:shd w:val="clear" w:color="000000" w:fill="FFFFFF"/>
            <w:noWrap/>
            <w:vAlign w:val="bottom"/>
            <w:hideMark/>
          </w:tcPr>
          <w:p w14:paraId="653B17C4" w14:textId="77777777" w:rsidR="005B19B0" w:rsidRPr="005B19B0" w:rsidRDefault="005B19B0" w:rsidP="005B19B0">
            <w:pPr>
              <w:ind w:firstLine="0"/>
              <w:jc w:val="center"/>
              <w:rPr>
                <w:sz w:val="20"/>
                <w:lang w:eastAsia="lt-LT"/>
              </w:rPr>
            </w:pPr>
            <w:r w:rsidRPr="005B19B0">
              <w:rPr>
                <w:sz w:val="20"/>
                <w:lang w:eastAsia="lt-LT"/>
              </w:rPr>
              <w:t>600,0</w:t>
            </w:r>
          </w:p>
        </w:tc>
        <w:tc>
          <w:tcPr>
            <w:tcW w:w="699" w:type="pct"/>
            <w:tcBorders>
              <w:top w:val="nil"/>
              <w:left w:val="nil"/>
              <w:bottom w:val="single" w:sz="4" w:space="0" w:color="auto"/>
              <w:right w:val="single" w:sz="4" w:space="0" w:color="auto"/>
            </w:tcBorders>
            <w:shd w:val="clear" w:color="000000" w:fill="FFFFFF"/>
            <w:noWrap/>
            <w:vAlign w:val="bottom"/>
            <w:hideMark/>
          </w:tcPr>
          <w:p w14:paraId="270BB4DD" w14:textId="77777777" w:rsidR="005B19B0" w:rsidRPr="005B19B0" w:rsidRDefault="005B19B0" w:rsidP="005B19B0">
            <w:pPr>
              <w:ind w:firstLine="0"/>
              <w:jc w:val="center"/>
              <w:rPr>
                <w:sz w:val="20"/>
                <w:lang w:eastAsia="lt-LT"/>
              </w:rPr>
            </w:pPr>
            <w:r w:rsidRPr="005B19B0">
              <w:rPr>
                <w:sz w:val="20"/>
                <w:lang w:eastAsia="lt-LT"/>
              </w:rPr>
              <w:t>660,0</w:t>
            </w:r>
          </w:p>
        </w:tc>
        <w:tc>
          <w:tcPr>
            <w:tcW w:w="524" w:type="pct"/>
            <w:tcBorders>
              <w:top w:val="nil"/>
              <w:left w:val="nil"/>
              <w:bottom w:val="single" w:sz="4" w:space="0" w:color="auto"/>
              <w:right w:val="single" w:sz="4" w:space="0" w:color="auto"/>
            </w:tcBorders>
            <w:shd w:val="clear" w:color="auto" w:fill="auto"/>
            <w:vAlign w:val="center"/>
            <w:hideMark/>
          </w:tcPr>
          <w:p w14:paraId="07264307" w14:textId="5604B2AC" w:rsidR="005B19B0" w:rsidRPr="005B19B0" w:rsidRDefault="005B19B0" w:rsidP="005B19B0">
            <w:pPr>
              <w:ind w:firstLine="0"/>
              <w:jc w:val="center"/>
              <w:rPr>
                <w:sz w:val="20"/>
                <w:lang w:eastAsia="lt-LT"/>
              </w:rPr>
            </w:pPr>
            <w:r w:rsidRPr="005B19B0">
              <w:rPr>
                <w:sz w:val="20"/>
                <w:lang w:eastAsia="lt-LT"/>
              </w:rPr>
              <w:t>10,0</w:t>
            </w:r>
          </w:p>
        </w:tc>
        <w:tc>
          <w:tcPr>
            <w:tcW w:w="452" w:type="pct"/>
            <w:tcBorders>
              <w:top w:val="nil"/>
              <w:left w:val="nil"/>
              <w:bottom w:val="single" w:sz="4" w:space="0" w:color="auto"/>
              <w:right w:val="single" w:sz="4" w:space="0" w:color="auto"/>
            </w:tcBorders>
            <w:shd w:val="clear" w:color="auto" w:fill="auto"/>
            <w:vAlign w:val="center"/>
            <w:hideMark/>
          </w:tcPr>
          <w:p w14:paraId="61E6149F" w14:textId="77777777" w:rsidR="005B19B0" w:rsidRPr="005B19B0" w:rsidRDefault="005B19B0" w:rsidP="005B19B0">
            <w:pPr>
              <w:ind w:firstLine="0"/>
              <w:jc w:val="center"/>
              <w:rPr>
                <w:sz w:val="20"/>
                <w:lang w:eastAsia="lt-LT"/>
              </w:rPr>
            </w:pPr>
            <w:r w:rsidRPr="005B19B0">
              <w:rPr>
                <w:sz w:val="20"/>
                <w:lang w:eastAsia="lt-LT"/>
              </w:rPr>
              <w:t>60,0</w:t>
            </w:r>
          </w:p>
        </w:tc>
      </w:tr>
      <w:tr w:rsidR="00B23D27" w:rsidRPr="005B19B0" w14:paraId="5074FE47" w14:textId="77777777" w:rsidTr="00BC6AC2">
        <w:trPr>
          <w:trHeight w:val="270"/>
        </w:trPr>
        <w:tc>
          <w:tcPr>
            <w:tcW w:w="2621" w:type="pct"/>
            <w:tcBorders>
              <w:top w:val="nil"/>
              <w:left w:val="single" w:sz="4" w:space="0" w:color="auto"/>
              <w:bottom w:val="single" w:sz="4" w:space="0" w:color="auto"/>
              <w:right w:val="single" w:sz="4" w:space="0" w:color="auto"/>
            </w:tcBorders>
            <w:shd w:val="clear" w:color="auto" w:fill="auto"/>
            <w:vAlign w:val="center"/>
            <w:hideMark/>
          </w:tcPr>
          <w:p w14:paraId="0F69144D" w14:textId="77777777" w:rsidR="005B19B0" w:rsidRPr="005B19B0" w:rsidRDefault="005B19B0" w:rsidP="005B19B0">
            <w:pPr>
              <w:ind w:firstLine="0"/>
              <w:jc w:val="left"/>
              <w:rPr>
                <w:sz w:val="20"/>
                <w:lang w:eastAsia="lt-LT"/>
              </w:rPr>
            </w:pPr>
            <w:r w:rsidRPr="005B19B0">
              <w:rPr>
                <w:sz w:val="20"/>
                <w:lang w:eastAsia="lt-LT"/>
              </w:rPr>
              <w:t xml:space="preserve">    7.2. kitos vietinės rinkliavos</w:t>
            </w:r>
          </w:p>
        </w:tc>
        <w:tc>
          <w:tcPr>
            <w:tcW w:w="704" w:type="pct"/>
            <w:tcBorders>
              <w:top w:val="nil"/>
              <w:left w:val="nil"/>
              <w:bottom w:val="single" w:sz="4" w:space="0" w:color="auto"/>
              <w:right w:val="single" w:sz="4" w:space="0" w:color="auto"/>
            </w:tcBorders>
            <w:shd w:val="clear" w:color="000000" w:fill="FFFFFF"/>
            <w:noWrap/>
            <w:vAlign w:val="bottom"/>
            <w:hideMark/>
          </w:tcPr>
          <w:p w14:paraId="4D3C9035" w14:textId="77777777" w:rsidR="005B19B0" w:rsidRPr="005B19B0" w:rsidRDefault="005B19B0" w:rsidP="005B19B0">
            <w:pPr>
              <w:ind w:firstLine="0"/>
              <w:jc w:val="center"/>
              <w:rPr>
                <w:sz w:val="20"/>
                <w:lang w:eastAsia="lt-LT"/>
              </w:rPr>
            </w:pPr>
            <w:r w:rsidRPr="005B19B0">
              <w:rPr>
                <w:sz w:val="20"/>
                <w:lang w:eastAsia="lt-LT"/>
              </w:rPr>
              <w:t>10,0</w:t>
            </w:r>
          </w:p>
        </w:tc>
        <w:tc>
          <w:tcPr>
            <w:tcW w:w="699" w:type="pct"/>
            <w:tcBorders>
              <w:top w:val="nil"/>
              <w:left w:val="nil"/>
              <w:bottom w:val="single" w:sz="4" w:space="0" w:color="auto"/>
              <w:right w:val="single" w:sz="4" w:space="0" w:color="auto"/>
            </w:tcBorders>
            <w:shd w:val="clear" w:color="000000" w:fill="FFFFFF"/>
            <w:noWrap/>
            <w:vAlign w:val="bottom"/>
            <w:hideMark/>
          </w:tcPr>
          <w:p w14:paraId="277530F9" w14:textId="77777777" w:rsidR="005B19B0" w:rsidRPr="005B19B0" w:rsidRDefault="005B19B0" w:rsidP="005B19B0">
            <w:pPr>
              <w:ind w:firstLine="0"/>
              <w:jc w:val="center"/>
              <w:rPr>
                <w:sz w:val="20"/>
                <w:lang w:eastAsia="lt-LT"/>
              </w:rPr>
            </w:pPr>
            <w:r w:rsidRPr="005B19B0">
              <w:rPr>
                <w:sz w:val="20"/>
                <w:lang w:eastAsia="lt-LT"/>
              </w:rPr>
              <w:t>10,0</w:t>
            </w:r>
          </w:p>
        </w:tc>
        <w:tc>
          <w:tcPr>
            <w:tcW w:w="524" w:type="pct"/>
            <w:tcBorders>
              <w:top w:val="nil"/>
              <w:left w:val="nil"/>
              <w:bottom w:val="single" w:sz="4" w:space="0" w:color="auto"/>
              <w:right w:val="single" w:sz="4" w:space="0" w:color="auto"/>
            </w:tcBorders>
            <w:shd w:val="clear" w:color="auto" w:fill="auto"/>
            <w:vAlign w:val="center"/>
            <w:hideMark/>
          </w:tcPr>
          <w:p w14:paraId="55E493A0" w14:textId="0D47477B" w:rsidR="005B19B0" w:rsidRPr="005B19B0" w:rsidRDefault="005B19B0" w:rsidP="005B19B0">
            <w:pPr>
              <w:ind w:firstLine="0"/>
              <w:jc w:val="center"/>
              <w:rPr>
                <w:sz w:val="20"/>
                <w:lang w:eastAsia="lt-LT"/>
              </w:rPr>
            </w:pPr>
            <w:r w:rsidRPr="005B19B0">
              <w:rPr>
                <w:sz w:val="20"/>
                <w:lang w:eastAsia="lt-LT"/>
              </w:rPr>
              <w:t>0,0</w:t>
            </w:r>
          </w:p>
        </w:tc>
        <w:tc>
          <w:tcPr>
            <w:tcW w:w="452" w:type="pct"/>
            <w:tcBorders>
              <w:top w:val="nil"/>
              <w:left w:val="nil"/>
              <w:bottom w:val="single" w:sz="4" w:space="0" w:color="auto"/>
              <w:right w:val="single" w:sz="4" w:space="0" w:color="auto"/>
            </w:tcBorders>
            <w:shd w:val="clear" w:color="auto" w:fill="auto"/>
            <w:vAlign w:val="center"/>
            <w:hideMark/>
          </w:tcPr>
          <w:p w14:paraId="3D0052CB" w14:textId="77777777" w:rsidR="005B19B0" w:rsidRPr="005B19B0" w:rsidRDefault="005B19B0" w:rsidP="005B19B0">
            <w:pPr>
              <w:ind w:firstLine="0"/>
              <w:jc w:val="center"/>
              <w:rPr>
                <w:sz w:val="20"/>
                <w:lang w:eastAsia="lt-LT"/>
              </w:rPr>
            </w:pPr>
            <w:r w:rsidRPr="005B19B0">
              <w:rPr>
                <w:sz w:val="20"/>
                <w:lang w:eastAsia="lt-LT"/>
              </w:rPr>
              <w:t>0,0</w:t>
            </w:r>
          </w:p>
        </w:tc>
      </w:tr>
      <w:tr w:rsidR="00B23D27" w:rsidRPr="005B19B0" w14:paraId="2366741B" w14:textId="77777777" w:rsidTr="00BC6AC2">
        <w:trPr>
          <w:trHeight w:val="540"/>
        </w:trPr>
        <w:tc>
          <w:tcPr>
            <w:tcW w:w="2621" w:type="pct"/>
            <w:tcBorders>
              <w:top w:val="nil"/>
              <w:left w:val="single" w:sz="4" w:space="0" w:color="auto"/>
              <w:bottom w:val="single" w:sz="4" w:space="0" w:color="auto"/>
              <w:right w:val="single" w:sz="4" w:space="0" w:color="auto"/>
            </w:tcBorders>
            <w:shd w:val="clear" w:color="auto" w:fill="FFFF99"/>
            <w:vAlign w:val="center"/>
            <w:hideMark/>
          </w:tcPr>
          <w:p w14:paraId="334BBD0A" w14:textId="77777777" w:rsidR="005B19B0" w:rsidRPr="005B19B0" w:rsidRDefault="005B19B0" w:rsidP="005B19B0">
            <w:pPr>
              <w:ind w:firstLine="0"/>
              <w:jc w:val="left"/>
              <w:rPr>
                <w:b/>
                <w:bCs/>
                <w:sz w:val="24"/>
                <w:szCs w:val="24"/>
                <w:lang w:eastAsia="lt-LT"/>
              </w:rPr>
            </w:pPr>
            <w:r w:rsidRPr="005B19B0">
              <w:rPr>
                <w:b/>
                <w:bCs/>
                <w:sz w:val="24"/>
                <w:szCs w:val="24"/>
                <w:lang w:eastAsia="lt-LT"/>
              </w:rPr>
              <w:t>Savivaldybių biudžetų pajamų kiti šaltiniai (4+5+6+7)</w:t>
            </w:r>
          </w:p>
        </w:tc>
        <w:tc>
          <w:tcPr>
            <w:tcW w:w="704" w:type="pct"/>
            <w:tcBorders>
              <w:top w:val="nil"/>
              <w:left w:val="nil"/>
              <w:bottom w:val="single" w:sz="4" w:space="0" w:color="auto"/>
              <w:right w:val="single" w:sz="4" w:space="0" w:color="auto"/>
            </w:tcBorders>
            <w:shd w:val="clear" w:color="auto" w:fill="FFFF99"/>
            <w:noWrap/>
            <w:vAlign w:val="center"/>
            <w:hideMark/>
          </w:tcPr>
          <w:p w14:paraId="7B9FFAE7" w14:textId="77777777" w:rsidR="005B19B0" w:rsidRPr="005B19B0" w:rsidRDefault="005B19B0" w:rsidP="005B19B0">
            <w:pPr>
              <w:ind w:firstLine="0"/>
              <w:jc w:val="center"/>
              <w:rPr>
                <w:b/>
                <w:bCs/>
                <w:sz w:val="22"/>
                <w:szCs w:val="22"/>
                <w:lang w:eastAsia="lt-LT"/>
              </w:rPr>
            </w:pPr>
            <w:r w:rsidRPr="005B19B0">
              <w:rPr>
                <w:b/>
                <w:bCs/>
                <w:sz w:val="22"/>
                <w:szCs w:val="22"/>
                <w:lang w:eastAsia="lt-LT"/>
              </w:rPr>
              <w:t>1 197,7</w:t>
            </w:r>
          </w:p>
        </w:tc>
        <w:tc>
          <w:tcPr>
            <w:tcW w:w="699" w:type="pct"/>
            <w:tcBorders>
              <w:top w:val="nil"/>
              <w:left w:val="nil"/>
              <w:bottom w:val="single" w:sz="4" w:space="0" w:color="auto"/>
              <w:right w:val="single" w:sz="4" w:space="0" w:color="auto"/>
            </w:tcBorders>
            <w:shd w:val="clear" w:color="auto" w:fill="FFFF99"/>
            <w:noWrap/>
            <w:vAlign w:val="center"/>
            <w:hideMark/>
          </w:tcPr>
          <w:p w14:paraId="43695AB1" w14:textId="77777777" w:rsidR="005B19B0" w:rsidRPr="005B19B0" w:rsidRDefault="005B19B0" w:rsidP="005B19B0">
            <w:pPr>
              <w:ind w:firstLine="0"/>
              <w:jc w:val="center"/>
              <w:rPr>
                <w:b/>
                <w:bCs/>
                <w:sz w:val="22"/>
                <w:szCs w:val="22"/>
                <w:lang w:eastAsia="lt-LT"/>
              </w:rPr>
            </w:pPr>
            <w:r w:rsidRPr="005B19B0">
              <w:rPr>
                <w:b/>
                <w:bCs/>
                <w:sz w:val="22"/>
                <w:szCs w:val="22"/>
                <w:lang w:eastAsia="lt-LT"/>
              </w:rPr>
              <w:t>1 401,1</w:t>
            </w:r>
          </w:p>
        </w:tc>
        <w:tc>
          <w:tcPr>
            <w:tcW w:w="524" w:type="pct"/>
            <w:tcBorders>
              <w:top w:val="nil"/>
              <w:left w:val="nil"/>
              <w:bottom w:val="single" w:sz="4" w:space="0" w:color="auto"/>
              <w:right w:val="single" w:sz="4" w:space="0" w:color="auto"/>
            </w:tcBorders>
            <w:shd w:val="clear" w:color="auto" w:fill="FFFF99"/>
            <w:vAlign w:val="center"/>
            <w:hideMark/>
          </w:tcPr>
          <w:p w14:paraId="3BC90BFF" w14:textId="028DE8BE" w:rsidR="005B19B0" w:rsidRPr="005B19B0" w:rsidRDefault="005B19B0" w:rsidP="005B19B0">
            <w:pPr>
              <w:ind w:firstLine="0"/>
              <w:jc w:val="center"/>
              <w:rPr>
                <w:b/>
                <w:bCs/>
                <w:sz w:val="22"/>
                <w:szCs w:val="22"/>
                <w:lang w:eastAsia="lt-LT"/>
              </w:rPr>
            </w:pPr>
            <w:r w:rsidRPr="005B19B0">
              <w:rPr>
                <w:b/>
                <w:bCs/>
                <w:sz w:val="22"/>
                <w:szCs w:val="22"/>
                <w:lang w:eastAsia="lt-LT"/>
              </w:rPr>
              <w:t>17,0</w:t>
            </w:r>
          </w:p>
        </w:tc>
        <w:tc>
          <w:tcPr>
            <w:tcW w:w="452" w:type="pct"/>
            <w:tcBorders>
              <w:top w:val="nil"/>
              <w:left w:val="nil"/>
              <w:bottom w:val="single" w:sz="4" w:space="0" w:color="auto"/>
              <w:right w:val="single" w:sz="4" w:space="0" w:color="auto"/>
            </w:tcBorders>
            <w:shd w:val="clear" w:color="000000" w:fill="FFFF99"/>
            <w:vAlign w:val="center"/>
            <w:hideMark/>
          </w:tcPr>
          <w:p w14:paraId="2ADE0B5B" w14:textId="77777777" w:rsidR="005B19B0" w:rsidRPr="005B19B0" w:rsidRDefault="005B19B0" w:rsidP="005B19B0">
            <w:pPr>
              <w:ind w:firstLine="0"/>
              <w:jc w:val="center"/>
              <w:rPr>
                <w:b/>
                <w:bCs/>
                <w:sz w:val="22"/>
                <w:szCs w:val="22"/>
                <w:lang w:eastAsia="lt-LT"/>
              </w:rPr>
            </w:pPr>
            <w:r w:rsidRPr="005B19B0">
              <w:rPr>
                <w:b/>
                <w:bCs/>
                <w:sz w:val="22"/>
                <w:szCs w:val="22"/>
                <w:lang w:eastAsia="lt-LT"/>
              </w:rPr>
              <w:t>203,4</w:t>
            </w:r>
          </w:p>
        </w:tc>
      </w:tr>
      <w:tr w:rsidR="00B23D27" w:rsidRPr="005B19B0" w14:paraId="0B8FF1A6" w14:textId="77777777" w:rsidTr="00BC6AC2">
        <w:trPr>
          <w:trHeight w:val="780"/>
        </w:trPr>
        <w:tc>
          <w:tcPr>
            <w:tcW w:w="2621" w:type="pct"/>
            <w:tcBorders>
              <w:top w:val="nil"/>
              <w:left w:val="single" w:sz="4" w:space="0" w:color="auto"/>
              <w:bottom w:val="single" w:sz="4" w:space="0" w:color="auto"/>
              <w:right w:val="single" w:sz="4" w:space="0" w:color="auto"/>
            </w:tcBorders>
            <w:shd w:val="clear" w:color="auto" w:fill="FFFF99"/>
            <w:vAlign w:val="center"/>
            <w:hideMark/>
          </w:tcPr>
          <w:p w14:paraId="2C8105AE" w14:textId="77777777" w:rsidR="005B19B0" w:rsidRPr="005B19B0" w:rsidRDefault="005B19B0" w:rsidP="005B19B0">
            <w:pPr>
              <w:ind w:firstLine="0"/>
              <w:jc w:val="left"/>
              <w:rPr>
                <w:b/>
                <w:bCs/>
                <w:sz w:val="24"/>
                <w:szCs w:val="24"/>
                <w:lang w:eastAsia="lt-LT"/>
              </w:rPr>
            </w:pPr>
            <w:r w:rsidRPr="005B19B0">
              <w:rPr>
                <w:b/>
                <w:bCs/>
                <w:sz w:val="24"/>
                <w:szCs w:val="24"/>
                <w:lang w:eastAsia="lt-LT"/>
              </w:rPr>
              <w:t>Europos Sąjungos finansinės paramos lėšos ir bendrojo finansavimo lėšos</w:t>
            </w:r>
          </w:p>
        </w:tc>
        <w:tc>
          <w:tcPr>
            <w:tcW w:w="704" w:type="pct"/>
            <w:tcBorders>
              <w:top w:val="nil"/>
              <w:left w:val="nil"/>
              <w:bottom w:val="single" w:sz="4" w:space="0" w:color="auto"/>
              <w:right w:val="single" w:sz="4" w:space="0" w:color="auto"/>
            </w:tcBorders>
            <w:shd w:val="clear" w:color="000000" w:fill="FFFF99"/>
            <w:vAlign w:val="center"/>
            <w:hideMark/>
          </w:tcPr>
          <w:p w14:paraId="6CC39DD4" w14:textId="77777777" w:rsidR="005B19B0" w:rsidRPr="005B19B0" w:rsidRDefault="005B19B0" w:rsidP="005B19B0">
            <w:pPr>
              <w:ind w:firstLine="0"/>
              <w:jc w:val="center"/>
              <w:rPr>
                <w:b/>
                <w:bCs/>
                <w:sz w:val="22"/>
                <w:szCs w:val="22"/>
                <w:lang w:eastAsia="lt-LT"/>
              </w:rPr>
            </w:pPr>
            <w:r w:rsidRPr="005B19B0">
              <w:rPr>
                <w:b/>
                <w:bCs/>
                <w:sz w:val="22"/>
                <w:szCs w:val="22"/>
                <w:lang w:eastAsia="lt-LT"/>
              </w:rPr>
              <w:t>250,7</w:t>
            </w:r>
          </w:p>
        </w:tc>
        <w:tc>
          <w:tcPr>
            <w:tcW w:w="699" w:type="pct"/>
            <w:tcBorders>
              <w:top w:val="nil"/>
              <w:left w:val="nil"/>
              <w:bottom w:val="single" w:sz="4" w:space="0" w:color="auto"/>
              <w:right w:val="single" w:sz="4" w:space="0" w:color="auto"/>
            </w:tcBorders>
            <w:shd w:val="clear" w:color="000000" w:fill="FFFF99"/>
            <w:vAlign w:val="center"/>
            <w:hideMark/>
          </w:tcPr>
          <w:p w14:paraId="278AC202" w14:textId="77777777" w:rsidR="005B19B0" w:rsidRPr="005B19B0" w:rsidRDefault="005B19B0" w:rsidP="005B19B0">
            <w:pPr>
              <w:ind w:firstLine="0"/>
              <w:jc w:val="center"/>
              <w:rPr>
                <w:b/>
                <w:bCs/>
                <w:sz w:val="22"/>
                <w:szCs w:val="22"/>
                <w:lang w:eastAsia="lt-LT"/>
              </w:rPr>
            </w:pPr>
            <w:r w:rsidRPr="005B19B0">
              <w:rPr>
                <w:b/>
                <w:bCs/>
                <w:sz w:val="22"/>
                <w:szCs w:val="22"/>
                <w:lang w:eastAsia="lt-LT"/>
              </w:rPr>
              <w:t>180,4</w:t>
            </w:r>
          </w:p>
        </w:tc>
        <w:tc>
          <w:tcPr>
            <w:tcW w:w="524" w:type="pct"/>
            <w:tcBorders>
              <w:top w:val="nil"/>
              <w:left w:val="nil"/>
              <w:bottom w:val="single" w:sz="4" w:space="0" w:color="auto"/>
              <w:right w:val="single" w:sz="4" w:space="0" w:color="auto"/>
            </w:tcBorders>
            <w:shd w:val="clear" w:color="000000" w:fill="FFFF99"/>
            <w:vAlign w:val="center"/>
            <w:hideMark/>
          </w:tcPr>
          <w:p w14:paraId="11418119" w14:textId="19267733" w:rsidR="005B19B0" w:rsidRPr="005B19B0" w:rsidRDefault="005B19B0" w:rsidP="005B19B0">
            <w:pPr>
              <w:ind w:firstLine="0"/>
              <w:jc w:val="center"/>
              <w:rPr>
                <w:b/>
                <w:bCs/>
                <w:sz w:val="22"/>
                <w:szCs w:val="22"/>
                <w:lang w:eastAsia="lt-LT"/>
              </w:rPr>
            </w:pPr>
            <w:r w:rsidRPr="005B19B0">
              <w:rPr>
                <w:b/>
                <w:bCs/>
                <w:sz w:val="22"/>
                <w:szCs w:val="22"/>
                <w:lang w:eastAsia="lt-LT"/>
              </w:rPr>
              <w:t>-28,0</w:t>
            </w:r>
          </w:p>
        </w:tc>
        <w:tc>
          <w:tcPr>
            <w:tcW w:w="452" w:type="pct"/>
            <w:tcBorders>
              <w:top w:val="nil"/>
              <w:left w:val="nil"/>
              <w:bottom w:val="single" w:sz="4" w:space="0" w:color="auto"/>
              <w:right w:val="single" w:sz="4" w:space="0" w:color="auto"/>
            </w:tcBorders>
            <w:shd w:val="clear" w:color="000000" w:fill="FFFF99"/>
            <w:vAlign w:val="center"/>
            <w:hideMark/>
          </w:tcPr>
          <w:p w14:paraId="190262AB" w14:textId="77777777" w:rsidR="005B19B0" w:rsidRPr="005B19B0" w:rsidRDefault="005B19B0" w:rsidP="005B19B0">
            <w:pPr>
              <w:ind w:firstLine="0"/>
              <w:jc w:val="center"/>
              <w:rPr>
                <w:b/>
                <w:bCs/>
                <w:sz w:val="22"/>
                <w:szCs w:val="22"/>
                <w:lang w:eastAsia="lt-LT"/>
              </w:rPr>
            </w:pPr>
            <w:r w:rsidRPr="005B19B0">
              <w:rPr>
                <w:b/>
                <w:bCs/>
                <w:sz w:val="22"/>
                <w:szCs w:val="22"/>
                <w:lang w:eastAsia="lt-LT"/>
              </w:rPr>
              <w:t>-70,3</w:t>
            </w:r>
          </w:p>
        </w:tc>
      </w:tr>
      <w:tr w:rsidR="00B23D27" w:rsidRPr="005B19B0" w14:paraId="10CB1488" w14:textId="77777777" w:rsidTr="00BC6AC2">
        <w:trPr>
          <w:trHeight w:val="735"/>
        </w:trPr>
        <w:tc>
          <w:tcPr>
            <w:tcW w:w="2621" w:type="pct"/>
            <w:tcBorders>
              <w:top w:val="nil"/>
              <w:left w:val="single" w:sz="4" w:space="0" w:color="auto"/>
              <w:bottom w:val="single" w:sz="4" w:space="0" w:color="auto"/>
              <w:right w:val="single" w:sz="4" w:space="0" w:color="auto"/>
            </w:tcBorders>
            <w:shd w:val="clear" w:color="000000" w:fill="FFFF99"/>
            <w:vAlign w:val="center"/>
            <w:hideMark/>
          </w:tcPr>
          <w:p w14:paraId="2C361146" w14:textId="77777777" w:rsidR="005B19B0" w:rsidRPr="005B19B0" w:rsidRDefault="005B19B0" w:rsidP="005B19B0">
            <w:pPr>
              <w:ind w:firstLine="0"/>
              <w:jc w:val="left"/>
              <w:rPr>
                <w:b/>
                <w:bCs/>
                <w:sz w:val="24"/>
                <w:szCs w:val="24"/>
                <w:lang w:eastAsia="lt-LT"/>
              </w:rPr>
            </w:pPr>
            <w:r w:rsidRPr="005B19B0">
              <w:rPr>
                <w:b/>
                <w:bCs/>
                <w:sz w:val="24"/>
                <w:szCs w:val="24"/>
                <w:lang w:eastAsia="lt-LT"/>
              </w:rPr>
              <w:t>Visos prognozuojamos savivaldybės biudžeto pajamos, iš viso</w:t>
            </w:r>
          </w:p>
        </w:tc>
        <w:tc>
          <w:tcPr>
            <w:tcW w:w="704" w:type="pct"/>
            <w:tcBorders>
              <w:top w:val="nil"/>
              <w:left w:val="nil"/>
              <w:bottom w:val="single" w:sz="4" w:space="0" w:color="auto"/>
              <w:right w:val="single" w:sz="4" w:space="0" w:color="auto"/>
            </w:tcBorders>
            <w:shd w:val="clear" w:color="000000" w:fill="FFFF99"/>
            <w:vAlign w:val="center"/>
            <w:hideMark/>
          </w:tcPr>
          <w:p w14:paraId="3141651A" w14:textId="77777777" w:rsidR="005B19B0" w:rsidRPr="005B19B0" w:rsidRDefault="005B19B0" w:rsidP="005B19B0">
            <w:pPr>
              <w:ind w:firstLine="0"/>
              <w:jc w:val="center"/>
              <w:rPr>
                <w:b/>
                <w:bCs/>
                <w:sz w:val="24"/>
                <w:szCs w:val="24"/>
                <w:lang w:eastAsia="lt-LT"/>
              </w:rPr>
            </w:pPr>
            <w:r w:rsidRPr="005B19B0">
              <w:rPr>
                <w:b/>
                <w:bCs/>
                <w:sz w:val="24"/>
                <w:szCs w:val="24"/>
                <w:lang w:eastAsia="lt-LT"/>
              </w:rPr>
              <w:t>25 725,6</w:t>
            </w:r>
          </w:p>
        </w:tc>
        <w:tc>
          <w:tcPr>
            <w:tcW w:w="699" w:type="pct"/>
            <w:tcBorders>
              <w:top w:val="nil"/>
              <w:left w:val="nil"/>
              <w:bottom w:val="single" w:sz="4" w:space="0" w:color="auto"/>
              <w:right w:val="single" w:sz="4" w:space="0" w:color="auto"/>
            </w:tcBorders>
            <w:shd w:val="clear" w:color="000000" w:fill="FFFF99"/>
            <w:vAlign w:val="center"/>
            <w:hideMark/>
          </w:tcPr>
          <w:p w14:paraId="34D0528A" w14:textId="77777777" w:rsidR="005B19B0" w:rsidRPr="005B19B0" w:rsidRDefault="005B19B0" w:rsidP="005B19B0">
            <w:pPr>
              <w:ind w:firstLine="0"/>
              <w:jc w:val="center"/>
              <w:rPr>
                <w:b/>
                <w:bCs/>
                <w:sz w:val="24"/>
                <w:szCs w:val="24"/>
                <w:lang w:eastAsia="lt-LT"/>
              </w:rPr>
            </w:pPr>
            <w:r w:rsidRPr="005B19B0">
              <w:rPr>
                <w:b/>
                <w:bCs/>
                <w:sz w:val="24"/>
                <w:szCs w:val="24"/>
                <w:lang w:eastAsia="lt-LT"/>
              </w:rPr>
              <w:t>27 084,1</w:t>
            </w:r>
          </w:p>
        </w:tc>
        <w:tc>
          <w:tcPr>
            <w:tcW w:w="524" w:type="pct"/>
            <w:tcBorders>
              <w:top w:val="nil"/>
              <w:left w:val="nil"/>
              <w:bottom w:val="single" w:sz="4" w:space="0" w:color="auto"/>
              <w:right w:val="single" w:sz="4" w:space="0" w:color="auto"/>
            </w:tcBorders>
            <w:shd w:val="clear" w:color="000000" w:fill="FFFF99"/>
            <w:vAlign w:val="center"/>
            <w:hideMark/>
          </w:tcPr>
          <w:p w14:paraId="36FB4589" w14:textId="73B79F84" w:rsidR="005B19B0" w:rsidRPr="005B19B0" w:rsidRDefault="005B19B0" w:rsidP="005B19B0">
            <w:pPr>
              <w:ind w:firstLine="0"/>
              <w:jc w:val="center"/>
              <w:rPr>
                <w:b/>
                <w:bCs/>
                <w:sz w:val="22"/>
                <w:szCs w:val="22"/>
                <w:lang w:eastAsia="lt-LT"/>
              </w:rPr>
            </w:pPr>
            <w:r w:rsidRPr="005B19B0">
              <w:rPr>
                <w:b/>
                <w:bCs/>
                <w:sz w:val="22"/>
                <w:szCs w:val="22"/>
                <w:lang w:eastAsia="lt-LT"/>
              </w:rPr>
              <w:t>5,3</w:t>
            </w:r>
          </w:p>
        </w:tc>
        <w:tc>
          <w:tcPr>
            <w:tcW w:w="452" w:type="pct"/>
            <w:tcBorders>
              <w:top w:val="nil"/>
              <w:left w:val="nil"/>
              <w:bottom w:val="single" w:sz="4" w:space="0" w:color="auto"/>
              <w:right w:val="single" w:sz="4" w:space="0" w:color="auto"/>
            </w:tcBorders>
            <w:shd w:val="clear" w:color="000000" w:fill="FFFF99"/>
            <w:vAlign w:val="center"/>
            <w:hideMark/>
          </w:tcPr>
          <w:p w14:paraId="60A76498" w14:textId="77777777" w:rsidR="005B19B0" w:rsidRPr="005B19B0" w:rsidRDefault="005B19B0" w:rsidP="005B19B0">
            <w:pPr>
              <w:ind w:firstLine="0"/>
              <w:jc w:val="center"/>
              <w:rPr>
                <w:b/>
                <w:bCs/>
                <w:sz w:val="22"/>
                <w:szCs w:val="22"/>
                <w:lang w:eastAsia="lt-LT"/>
              </w:rPr>
            </w:pPr>
            <w:r w:rsidRPr="005B19B0">
              <w:rPr>
                <w:b/>
                <w:bCs/>
                <w:sz w:val="22"/>
                <w:szCs w:val="22"/>
                <w:lang w:eastAsia="lt-LT"/>
              </w:rPr>
              <w:t>1358,5</w:t>
            </w:r>
          </w:p>
        </w:tc>
      </w:tr>
      <w:tr w:rsidR="00B23D27" w:rsidRPr="005B19B0" w14:paraId="699767BB" w14:textId="77777777" w:rsidTr="00BC6AC2">
        <w:trPr>
          <w:trHeight w:val="660"/>
        </w:trPr>
        <w:tc>
          <w:tcPr>
            <w:tcW w:w="2621" w:type="pct"/>
            <w:tcBorders>
              <w:top w:val="nil"/>
              <w:left w:val="single" w:sz="4" w:space="0" w:color="auto"/>
              <w:bottom w:val="single" w:sz="4" w:space="0" w:color="auto"/>
              <w:right w:val="single" w:sz="4" w:space="0" w:color="auto"/>
            </w:tcBorders>
            <w:shd w:val="clear" w:color="000000" w:fill="FFFF99"/>
            <w:vAlign w:val="center"/>
            <w:hideMark/>
          </w:tcPr>
          <w:p w14:paraId="59DF5BCE" w14:textId="77777777" w:rsidR="005B19B0" w:rsidRPr="005B19B0" w:rsidRDefault="005B19B0" w:rsidP="005B19B0">
            <w:pPr>
              <w:ind w:firstLine="0"/>
              <w:jc w:val="left"/>
              <w:rPr>
                <w:b/>
                <w:bCs/>
                <w:color w:val="000000"/>
                <w:sz w:val="24"/>
                <w:szCs w:val="24"/>
                <w:lang w:eastAsia="lt-LT"/>
              </w:rPr>
            </w:pPr>
            <w:r w:rsidRPr="005B19B0">
              <w:rPr>
                <w:b/>
                <w:bCs/>
                <w:color w:val="000000"/>
                <w:sz w:val="24"/>
                <w:szCs w:val="24"/>
                <w:lang w:eastAsia="lt-LT"/>
              </w:rPr>
              <w:t>Iš viso prognozuojamos savivaldybės biudžeto pajamos</w:t>
            </w:r>
          </w:p>
        </w:tc>
        <w:tc>
          <w:tcPr>
            <w:tcW w:w="704" w:type="pct"/>
            <w:tcBorders>
              <w:top w:val="nil"/>
              <w:left w:val="nil"/>
              <w:bottom w:val="single" w:sz="4" w:space="0" w:color="auto"/>
              <w:right w:val="single" w:sz="4" w:space="0" w:color="auto"/>
            </w:tcBorders>
            <w:shd w:val="clear" w:color="000000" w:fill="FFFF99"/>
            <w:vAlign w:val="center"/>
            <w:hideMark/>
          </w:tcPr>
          <w:p w14:paraId="68D1C2BA" w14:textId="77777777" w:rsidR="005B19B0" w:rsidRPr="005B19B0" w:rsidRDefault="005B19B0" w:rsidP="005B19B0">
            <w:pPr>
              <w:ind w:firstLine="0"/>
              <w:jc w:val="center"/>
              <w:rPr>
                <w:b/>
                <w:bCs/>
                <w:sz w:val="24"/>
                <w:szCs w:val="24"/>
                <w:lang w:eastAsia="lt-LT"/>
              </w:rPr>
            </w:pPr>
            <w:r w:rsidRPr="005B19B0">
              <w:rPr>
                <w:b/>
                <w:bCs/>
                <w:sz w:val="24"/>
                <w:szCs w:val="24"/>
                <w:lang w:eastAsia="lt-LT"/>
              </w:rPr>
              <w:t>25 725,6</w:t>
            </w:r>
          </w:p>
        </w:tc>
        <w:tc>
          <w:tcPr>
            <w:tcW w:w="699" w:type="pct"/>
            <w:tcBorders>
              <w:top w:val="nil"/>
              <w:left w:val="nil"/>
              <w:bottom w:val="single" w:sz="4" w:space="0" w:color="auto"/>
              <w:right w:val="single" w:sz="4" w:space="0" w:color="auto"/>
            </w:tcBorders>
            <w:shd w:val="clear" w:color="000000" w:fill="FFFF99"/>
            <w:vAlign w:val="center"/>
            <w:hideMark/>
          </w:tcPr>
          <w:p w14:paraId="5228520E" w14:textId="77777777" w:rsidR="005B19B0" w:rsidRPr="005B19B0" w:rsidRDefault="005B19B0" w:rsidP="005B19B0">
            <w:pPr>
              <w:ind w:firstLine="0"/>
              <w:jc w:val="center"/>
              <w:rPr>
                <w:b/>
                <w:bCs/>
                <w:sz w:val="24"/>
                <w:szCs w:val="24"/>
                <w:lang w:eastAsia="lt-LT"/>
              </w:rPr>
            </w:pPr>
            <w:r w:rsidRPr="005B19B0">
              <w:rPr>
                <w:b/>
                <w:bCs/>
                <w:sz w:val="24"/>
                <w:szCs w:val="24"/>
                <w:lang w:eastAsia="lt-LT"/>
              </w:rPr>
              <w:t>27 084,1</w:t>
            </w:r>
          </w:p>
        </w:tc>
        <w:tc>
          <w:tcPr>
            <w:tcW w:w="524" w:type="pct"/>
            <w:tcBorders>
              <w:top w:val="nil"/>
              <w:left w:val="nil"/>
              <w:bottom w:val="single" w:sz="4" w:space="0" w:color="auto"/>
              <w:right w:val="single" w:sz="4" w:space="0" w:color="auto"/>
            </w:tcBorders>
            <w:shd w:val="clear" w:color="000000" w:fill="FFFF99"/>
            <w:vAlign w:val="center"/>
            <w:hideMark/>
          </w:tcPr>
          <w:p w14:paraId="6FE0BFEB" w14:textId="666F8070" w:rsidR="005B19B0" w:rsidRPr="005B19B0" w:rsidRDefault="005B19B0" w:rsidP="005B19B0">
            <w:pPr>
              <w:ind w:firstLine="0"/>
              <w:jc w:val="center"/>
              <w:rPr>
                <w:b/>
                <w:bCs/>
                <w:sz w:val="22"/>
                <w:szCs w:val="22"/>
                <w:lang w:eastAsia="lt-LT"/>
              </w:rPr>
            </w:pPr>
            <w:r w:rsidRPr="005B19B0">
              <w:rPr>
                <w:b/>
                <w:bCs/>
                <w:sz w:val="22"/>
                <w:szCs w:val="22"/>
                <w:lang w:eastAsia="lt-LT"/>
              </w:rPr>
              <w:t>5,3</w:t>
            </w:r>
          </w:p>
        </w:tc>
        <w:tc>
          <w:tcPr>
            <w:tcW w:w="452" w:type="pct"/>
            <w:tcBorders>
              <w:top w:val="nil"/>
              <w:left w:val="nil"/>
              <w:bottom w:val="single" w:sz="4" w:space="0" w:color="auto"/>
              <w:right w:val="single" w:sz="4" w:space="0" w:color="auto"/>
            </w:tcBorders>
            <w:shd w:val="clear" w:color="000000" w:fill="FFFF99"/>
            <w:vAlign w:val="center"/>
            <w:hideMark/>
          </w:tcPr>
          <w:p w14:paraId="1C2F9C99" w14:textId="77777777" w:rsidR="005B19B0" w:rsidRPr="005B19B0" w:rsidRDefault="005B19B0" w:rsidP="005B19B0">
            <w:pPr>
              <w:ind w:firstLine="0"/>
              <w:jc w:val="center"/>
              <w:rPr>
                <w:b/>
                <w:bCs/>
                <w:sz w:val="22"/>
                <w:szCs w:val="22"/>
                <w:lang w:eastAsia="lt-LT"/>
              </w:rPr>
            </w:pPr>
            <w:r w:rsidRPr="005B19B0">
              <w:rPr>
                <w:b/>
                <w:bCs/>
                <w:sz w:val="22"/>
                <w:szCs w:val="22"/>
                <w:lang w:eastAsia="lt-LT"/>
              </w:rPr>
              <w:t>1358,5</w:t>
            </w:r>
          </w:p>
        </w:tc>
      </w:tr>
      <w:tr w:rsidR="00B23D27" w:rsidRPr="005B19B0" w14:paraId="132845FA" w14:textId="77777777" w:rsidTr="00BC6AC2">
        <w:trPr>
          <w:trHeight w:val="469"/>
        </w:trPr>
        <w:tc>
          <w:tcPr>
            <w:tcW w:w="2621" w:type="pct"/>
            <w:tcBorders>
              <w:top w:val="nil"/>
              <w:left w:val="single" w:sz="4" w:space="0" w:color="auto"/>
              <w:bottom w:val="single" w:sz="4" w:space="0" w:color="auto"/>
              <w:right w:val="single" w:sz="4" w:space="0" w:color="auto"/>
            </w:tcBorders>
            <w:shd w:val="clear" w:color="auto" w:fill="FFFF99"/>
            <w:vAlign w:val="center"/>
            <w:hideMark/>
          </w:tcPr>
          <w:p w14:paraId="70735C14" w14:textId="77777777" w:rsidR="005B19B0" w:rsidRPr="005B19B0" w:rsidRDefault="005B19B0" w:rsidP="005B19B0">
            <w:pPr>
              <w:ind w:firstLine="0"/>
              <w:jc w:val="left"/>
              <w:rPr>
                <w:b/>
                <w:bCs/>
                <w:i/>
                <w:iCs/>
                <w:sz w:val="24"/>
                <w:szCs w:val="24"/>
                <w:lang w:eastAsia="lt-LT"/>
              </w:rPr>
            </w:pPr>
            <w:r w:rsidRPr="005B19B0">
              <w:rPr>
                <w:b/>
                <w:bCs/>
                <w:i/>
                <w:iCs/>
                <w:sz w:val="24"/>
                <w:szCs w:val="24"/>
                <w:lang w:eastAsia="lt-LT"/>
              </w:rPr>
              <w:t xml:space="preserve">Praėjusių metų nepanaudotas biudžeto lėšų likutis </w:t>
            </w:r>
          </w:p>
        </w:tc>
        <w:tc>
          <w:tcPr>
            <w:tcW w:w="704" w:type="pct"/>
            <w:tcBorders>
              <w:top w:val="nil"/>
              <w:left w:val="nil"/>
              <w:bottom w:val="single" w:sz="4" w:space="0" w:color="auto"/>
              <w:right w:val="single" w:sz="4" w:space="0" w:color="auto"/>
            </w:tcBorders>
            <w:shd w:val="clear" w:color="000000" w:fill="FFFF99"/>
            <w:noWrap/>
            <w:vAlign w:val="center"/>
            <w:hideMark/>
          </w:tcPr>
          <w:p w14:paraId="14A061BB" w14:textId="77777777" w:rsidR="005B19B0" w:rsidRPr="005B19B0" w:rsidRDefault="005B19B0" w:rsidP="005B19B0">
            <w:pPr>
              <w:ind w:firstLine="0"/>
              <w:jc w:val="center"/>
              <w:rPr>
                <w:b/>
                <w:bCs/>
                <w:i/>
                <w:iCs/>
                <w:sz w:val="22"/>
                <w:szCs w:val="22"/>
                <w:lang w:eastAsia="lt-LT"/>
              </w:rPr>
            </w:pPr>
            <w:r w:rsidRPr="005B19B0">
              <w:rPr>
                <w:b/>
                <w:bCs/>
                <w:i/>
                <w:iCs/>
                <w:sz w:val="22"/>
                <w:szCs w:val="22"/>
                <w:lang w:eastAsia="lt-LT"/>
              </w:rPr>
              <w:t>1 204,8</w:t>
            </w:r>
          </w:p>
        </w:tc>
        <w:tc>
          <w:tcPr>
            <w:tcW w:w="699" w:type="pct"/>
            <w:tcBorders>
              <w:top w:val="nil"/>
              <w:left w:val="nil"/>
              <w:bottom w:val="single" w:sz="4" w:space="0" w:color="auto"/>
              <w:right w:val="single" w:sz="4" w:space="0" w:color="auto"/>
            </w:tcBorders>
            <w:shd w:val="clear" w:color="000000" w:fill="FFFF99"/>
            <w:noWrap/>
            <w:vAlign w:val="center"/>
            <w:hideMark/>
          </w:tcPr>
          <w:p w14:paraId="67D1FD27" w14:textId="77777777" w:rsidR="005B19B0" w:rsidRPr="005B19B0" w:rsidRDefault="005B19B0" w:rsidP="005B19B0">
            <w:pPr>
              <w:ind w:firstLine="0"/>
              <w:jc w:val="center"/>
              <w:rPr>
                <w:b/>
                <w:bCs/>
                <w:i/>
                <w:iCs/>
                <w:sz w:val="22"/>
                <w:szCs w:val="22"/>
                <w:lang w:eastAsia="lt-LT"/>
              </w:rPr>
            </w:pPr>
            <w:r w:rsidRPr="005B19B0">
              <w:rPr>
                <w:b/>
                <w:bCs/>
                <w:i/>
                <w:iCs/>
                <w:sz w:val="22"/>
                <w:szCs w:val="22"/>
                <w:lang w:eastAsia="lt-LT"/>
              </w:rPr>
              <w:t>1 517,6</w:t>
            </w:r>
          </w:p>
        </w:tc>
        <w:tc>
          <w:tcPr>
            <w:tcW w:w="524" w:type="pct"/>
            <w:tcBorders>
              <w:top w:val="nil"/>
              <w:left w:val="nil"/>
              <w:bottom w:val="single" w:sz="4" w:space="0" w:color="auto"/>
              <w:right w:val="single" w:sz="4" w:space="0" w:color="auto"/>
            </w:tcBorders>
            <w:shd w:val="clear" w:color="000000" w:fill="FFFF99"/>
            <w:vAlign w:val="center"/>
            <w:hideMark/>
          </w:tcPr>
          <w:p w14:paraId="7DE9A02C" w14:textId="5E9F41B2" w:rsidR="005B19B0" w:rsidRPr="005B19B0" w:rsidRDefault="005B19B0" w:rsidP="005B19B0">
            <w:pPr>
              <w:ind w:firstLine="0"/>
              <w:jc w:val="center"/>
              <w:rPr>
                <w:b/>
                <w:bCs/>
                <w:sz w:val="22"/>
                <w:szCs w:val="22"/>
                <w:lang w:eastAsia="lt-LT"/>
              </w:rPr>
            </w:pPr>
            <w:r w:rsidRPr="005B19B0">
              <w:rPr>
                <w:b/>
                <w:bCs/>
                <w:sz w:val="22"/>
                <w:szCs w:val="22"/>
                <w:lang w:eastAsia="lt-LT"/>
              </w:rPr>
              <w:t>26,0</w:t>
            </w:r>
          </w:p>
        </w:tc>
        <w:tc>
          <w:tcPr>
            <w:tcW w:w="452" w:type="pct"/>
            <w:tcBorders>
              <w:top w:val="nil"/>
              <w:left w:val="nil"/>
              <w:bottom w:val="single" w:sz="4" w:space="0" w:color="auto"/>
              <w:right w:val="single" w:sz="4" w:space="0" w:color="auto"/>
            </w:tcBorders>
            <w:shd w:val="clear" w:color="000000" w:fill="FFFF99"/>
            <w:vAlign w:val="center"/>
            <w:hideMark/>
          </w:tcPr>
          <w:p w14:paraId="06B2C47B" w14:textId="77777777" w:rsidR="005B19B0" w:rsidRPr="005B19B0" w:rsidRDefault="005B19B0" w:rsidP="005B19B0">
            <w:pPr>
              <w:ind w:firstLine="0"/>
              <w:jc w:val="center"/>
              <w:rPr>
                <w:b/>
                <w:bCs/>
                <w:sz w:val="22"/>
                <w:szCs w:val="22"/>
                <w:lang w:eastAsia="lt-LT"/>
              </w:rPr>
            </w:pPr>
            <w:r w:rsidRPr="005B19B0">
              <w:rPr>
                <w:b/>
                <w:bCs/>
                <w:sz w:val="22"/>
                <w:szCs w:val="22"/>
                <w:lang w:eastAsia="lt-LT"/>
              </w:rPr>
              <w:t>312,8</w:t>
            </w:r>
          </w:p>
        </w:tc>
      </w:tr>
      <w:tr w:rsidR="00B23D27" w:rsidRPr="005B19B0" w14:paraId="668FA0E2" w14:textId="77777777" w:rsidTr="00BC6AC2">
        <w:trPr>
          <w:trHeight w:val="480"/>
        </w:trPr>
        <w:tc>
          <w:tcPr>
            <w:tcW w:w="2621" w:type="pct"/>
            <w:tcBorders>
              <w:top w:val="nil"/>
              <w:left w:val="single" w:sz="4" w:space="0" w:color="auto"/>
              <w:bottom w:val="single" w:sz="4" w:space="0" w:color="auto"/>
              <w:right w:val="single" w:sz="4" w:space="0" w:color="auto"/>
            </w:tcBorders>
            <w:shd w:val="clear" w:color="000000" w:fill="FFFF99"/>
            <w:noWrap/>
            <w:vAlign w:val="center"/>
            <w:hideMark/>
          </w:tcPr>
          <w:p w14:paraId="0B115081" w14:textId="77777777" w:rsidR="005B19B0" w:rsidRPr="005B19B0" w:rsidRDefault="005B19B0" w:rsidP="005B19B0">
            <w:pPr>
              <w:ind w:firstLine="0"/>
              <w:jc w:val="left"/>
              <w:rPr>
                <w:b/>
                <w:bCs/>
                <w:sz w:val="24"/>
                <w:szCs w:val="24"/>
                <w:lang w:eastAsia="lt-LT"/>
              </w:rPr>
            </w:pPr>
            <w:r w:rsidRPr="005B19B0">
              <w:rPr>
                <w:b/>
                <w:bCs/>
                <w:sz w:val="24"/>
                <w:szCs w:val="24"/>
                <w:lang w:eastAsia="lt-LT"/>
              </w:rPr>
              <w:t>Finansiniai įsipareigojimai (ilgalaikės paskolos)</w:t>
            </w:r>
          </w:p>
        </w:tc>
        <w:tc>
          <w:tcPr>
            <w:tcW w:w="704" w:type="pct"/>
            <w:tcBorders>
              <w:top w:val="nil"/>
              <w:left w:val="nil"/>
              <w:bottom w:val="single" w:sz="4" w:space="0" w:color="auto"/>
              <w:right w:val="single" w:sz="4" w:space="0" w:color="auto"/>
            </w:tcBorders>
            <w:shd w:val="clear" w:color="000000" w:fill="FFFF99"/>
            <w:vAlign w:val="center"/>
            <w:hideMark/>
          </w:tcPr>
          <w:p w14:paraId="324A1FAF" w14:textId="77777777" w:rsidR="005B19B0" w:rsidRPr="005B19B0" w:rsidRDefault="005B19B0" w:rsidP="005B19B0">
            <w:pPr>
              <w:ind w:firstLine="0"/>
              <w:jc w:val="center"/>
              <w:rPr>
                <w:b/>
                <w:bCs/>
                <w:sz w:val="22"/>
                <w:szCs w:val="22"/>
                <w:lang w:eastAsia="lt-LT"/>
              </w:rPr>
            </w:pPr>
            <w:r w:rsidRPr="005B19B0">
              <w:rPr>
                <w:b/>
                <w:bCs/>
                <w:sz w:val="22"/>
                <w:szCs w:val="22"/>
                <w:lang w:eastAsia="lt-LT"/>
              </w:rPr>
              <w:t>537,2</w:t>
            </w:r>
          </w:p>
        </w:tc>
        <w:tc>
          <w:tcPr>
            <w:tcW w:w="699" w:type="pct"/>
            <w:tcBorders>
              <w:top w:val="nil"/>
              <w:left w:val="nil"/>
              <w:bottom w:val="single" w:sz="4" w:space="0" w:color="auto"/>
              <w:right w:val="single" w:sz="4" w:space="0" w:color="auto"/>
            </w:tcBorders>
            <w:shd w:val="clear" w:color="000000" w:fill="FFFF99"/>
            <w:vAlign w:val="center"/>
            <w:hideMark/>
          </w:tcPr>
          <w:p w14:paraId="60AE469A" w14:textId="77777777" w:rsidR="005B19B0" w:rsidRPr="005B19B0" w:rsidRDefault="005B19B0" w:rsidP="005B19B0">
            <w:pPr>
              <w:ind w:firstLine="0"/>
              <w:jc w:val="center"/>
              <w:rPr>
                <w:b/>
                <w:bCs/>
                <w:sz w:val="22"/>
                <w:szCs w:val="22"/>
                <w:lang w:eastAsia="lt-LT"/>
              </w:rPr>
            </w:pPr>
            <w:r w:rsidRPr="005B19B0">
              <w:rPr>
                <w:b/>
                <w:bCs/>
                <w:sz w:val="22"/>
                <w:szCs w:val="22"/>
                <w:lang w:eastAsia="lt-LT"/>
              </w:rPr>
              <w:t>488,2</w:t>
            </w:r>
          </w:p>
        </w:tc>
        <w:tc>
          <w:tcPr>
            <w:tcW w:w="524" w:type="pct"/>
            <w:tcBorders>
              <w:top w:val="nil"/>
              <w:left w:val="nil"/>
              <w:bottom w:val="single" w:sz="4" w:space="0" w:color="auto"/>
              <w:right w:val="single" w:sz="4" w:space="0" w:color="auto"/>
            </w:tcBorders>
            <w:shd w:val="clear" w:color="000000" w:fill="FFFF99"/>
            <w:vAlign w:val="center"/>
            <w:hideMark/>
          </w:tcPr>
          <w:p w14:paraId="18D76D78" w14:textId="1EA830EB" w:rsidR="005B19B0" w:rsidRPr="005B19B0" w:rsidRDefault="005B19B0" w:rsidP="005B19B0">
            <w:pPr>
              <w:ind w:firstLine="0"/>
              <w:jc w:val="center"/>
              <w:rPr>
                <w:b/>
                <w:bCs/>
                <w:sz w:val="22"/>
                <w:szCs w:val="22"/>
                <w:lang w:eastAsia="lt-LT"/>
              </w:rPr>
            </w:pPr>
            <w:r w:rsidRPr="005B19B0">
              <w:rPr>
                <w:b/>
                <w:bCs/>
                <w:sz w:val="22"/>
                <w:szCs w:val="22"/>
                <w:lang w:eastAsia="lt-LT"/>
              </w:rPr>
              <w:t>-9,1</w:t>
            </w:r>
          </w:p>
        </w:tc>
        <w:tc>
          <w:tcPr>
            <w:tcW w:w="452" w:type="pct"/>
            <w:tcBorders>
              <w:top w:val="nil"/>
              <w:left w:val="nil"/>
              <w:bottom w:val="single" w:sz="4" w:space="0" w:color="auto"/>
              <w:right w:val="single" w:sz="4" w:space="0" w:color="auto"/>
            </w:tcBorders>
            <w:shd w:val="clear" w:color="000000" w:fill="FFFF99"/>
            <w:vAlign w:val="center"/>
            <w:hideMark/>
          </w:tcPr>
          <w:p w14:paraId="1B8F612C" w14:textId="77777777" w:rsidR="005B19B0" w:rsidRPr="005B19B0" w:rsidRDefault="005B19B0" w:rsidP="005B19B0">
            <w:pPr>
              <w:ind w:firstLine="0"/>
              <w:jc w:val="center"/>
              <w:rPr>
                <w:b/>
                <w:bCs/>
                <w:sz w:val="22"/>
                <w:szCs w:val="22"/>
                <w:lang w:eastAsia="lt-LT"/>
              </w:rPr>
            </w:pPr>
            <w:r w:rsidRPr="005B19B0">
              <w:rPr>
                <w:b/>
                <w:bCs/>
                <w:sz w:val="22"/>
                <w:szCs w:val="22"/>
                <w:lang w:eastAsia="lt-LT"/>
              </w:rPr>
              <w:t>-49,0</w:t>
            </w:r>
          </w:p>
        </w:tc>
      </w:tr>
      <w:tr w:rsidR="00B23D27" w:rsidRPr="005B19B0" w14:paraId="7871EE1E" w14:textId="77777777" w:rsidTr="00BC6AC2">
        <w:trPr>
          <w:trHeight w:val="510"/>
        </w:trPr>
        <w:tc>
          <w:tcPr>
            <w:tcW w:w="2621" w:type="pct"/>
            <w:tcBorders>
              <w:top w:val="nil"/>
              <w:left w:val="single" w:sz="4" w:space="0" w:color="auto"/>
              <w:bottom w:val="single" w:sz="4" w:space="0" w:color="auto"/>
              <w:right w:val="single" w:sz="4" w:space="0" w:color="auto"/>
            </w:tcBorders>
            <w:shd w:val="clear" w:color="000000" w:fill="FFFF99"/>
            <w:vAlign w:val="center"/>
            <w:hideMark/>
          </w:tcPr>
          <w:p w14:paraId="2F1BFE61" w14:textId="77777777" w:rsidR="005B19B0" w:rsidRPr="005B19B0" w:rsidRDefault="005B19B0" w:rsidP="005B19B0">
            <w:pPr>
              <w:ind w:firstLine="0"/>
              <w:jc w:val="left"/>
              <w:rPr>
                <w:b/>
                <w:bCs/>
                <w:sz w:val="24"/>
                <w:szCs w:val="24"/>
                <w:lang w:eastAsia="lt-LT"/>
              </w:rPr>
            </w:pPr>
            <w:r w:rsidRPr="005B19B0">
              <w:rPr>
                <w:b/>
                <w:bCs/>
                <w:sz w:val="24"/>
                <w:szCs w:val="24"/>
                <w:lang w:eastAsia="lt-LT"/>
              </w:rPr>
              <w:t>Savivaldybės biudžeto visi pajamų šaltiniai, iš viso</w:t>
            </w:r>
          </w:p>
        </w:tc>
        <w:tc>
          <w:tcPr>
            <w:tcW w:w="704" w:type="pct"/>
            <w:tcBorders>
              <w:top w:val="nil"/>
              <w:left w:val="nil"/>
              <w:bottom w:val="single" w:sz="4" w:space="0" w:color="auto"/>
              <w:right w:val="single" w:sz="4" w:space="0" w:color="auto"/>
            </w:tcBorders>
            <w:shd w:val="clear" w:color="000000" w:fill="FFFF99"/>
            <w:noWrap/>
            <w:vAlign w:val="center"/>
            <w:hideMark/>
          </w:tcPr>
          <w:p w14:paraId="5FFAA7E0" w14:textId="77777777" w:rsidR="005B19B0" w:rsidRPr="005B19B0" w:rsidRDefault="005B19B0" w:rsidP="005B19B0">
            <w:pPr>
              <w:ind w:firstLine="0"/>
              <w:jc w:val="center"/>
              <w:rPr>
                <w:b/>
                <w:bCs/>
                <w:sz w:val="24"/>
                <w:szCs w:val="24"/>
                <w:lang w:eastAsia="lt-LT"/>
              </w:rPr>
            </w:pPr>
            <w:r w:rsidRPr="005B19B0">
              <w:rPr>
                <w:b/>
                <w:bCs/>
                <w:sz w:val="24"/>
                <w:szCs w:val="24"/>
                <w:lang w:eastAsia="lt-LT"/>
              </w:rPr>
              <w:t>27 467,6</w:t>
            </w:r>
          </w:p>
        </w:tc>
        <w:tc>
          <w:tcPr>
            <w:tcW w:w="699" w:type="pct"/>
            <w:tcBorders>
              <w:top w:val="nil"/>
              <w:left w:val="nil"/>
              <w:bottom w:val="single" w:sz="4" w:space="0" w:color="auto"/>
              <w:right w:val="single" w:sz="4" w:space="0" w:color="auto"/>
            </w:tcBorders>
            <w:shd w:val="clear" w:color="000000" w:fill="FFFF99"/>
            <w:noWrap/>
            <w:vAlign w:val="center"/>
            <w:hideMark/>
          </w:tcPr>
          <w:p w14:paraId="2E073802" w14:textId="77777777" w:rsidR="005B19B0" w:rsidRPr="005B19B0" w:rsidRDefault="005B19B0" w:rsidP="005B19B0">
            <w:pPr>
              <w:ind w:firstLine="0"/>
              <w:jc w:val="center"/>
              <w:rPr>
                <w:b/>
                <w:bCs/>
                <w:sz w:val="24"/>
                <w:szCs w:val="24"/>
                <w:lang w:eastAsia="lt-LT"/>
              </w:rPr>
            </w:pPr>
            <w:r w:rsidRPr="005B19B0">
              <w:rPr>
                <w:b/>
                <w:bCs/>
                <w:sz w:val="24"/>
                <w:szCs w:val="24"/>
                <w:lang w:eastAsia="lt-LT"/>
              </w:rPr>
              <w:t>29 089,9</w:t>
            </w:r>
          </w:p>
        </w:tc>
        <w:tc>
          <w:tcPr>
            <w:tcW w:w="524" w:type="pct"/>
            <w:tcBorders>
              <w:top w:val="nil"/>
              <w:left w:val="nil"/>
              <w:bottom w:val="single" w:sz="4" w:space="0" w:color="auto"/>
              <w:right w:val="single" w:sz="4" w:space="0" w:color="auto"/>
            </w:tcBorders>
            <w:shd w:val="clear" w:color="000000" w:fill="FFFF99"/>
            <w:vAlign w:val="center"/>
            <w:hideMark/>
          </w:tcPr>
          <w:p w14:paraId="65FC7353" w14:textId="35696663" w:rsidR="005B19B0" w:rsidRPr="005B19B0" w:rsidRDefault="005B19B0" w:rsidP="005B19B0">
            <w:pPr>
              <w:ind w:firstLine="0"/>
              <w:jc w:val="center"/>
              <w:rPr>
                <w:b/>
                <w:bCs/>
                <w:sz w:val="22"/>
                <w:szCs w:val="22"/>
                <w:lang w:eastAsia="lt-LT"/>
              </w:rPr>
            </w:pPr>
            <w:r w:rsidRPr="005B19B0">
              <w:rPr>
                <w:b/>
                <w:bCs/>
                <w:sz w:val="22"/>
                <w:szCs w:val="22"/>
                <w:lang w:eastAsia="lt-LT"/>
              </w:rPr>
              <w:t>5,9</w:t>
            </w:r>
          </w:p>
        </w:tc>
        <w:tc>
          <w:tcPr>
            <w:tcW w:w="452" w:type="pct"/>
            <w:tcBorders>
              <w:top w:val="nil"/>
              <w:left w:val="nil"/>
              <w:bottom w:val="single" w:sz="4" w:space="0" w:color="auto"/>
              <w:right w:val="single" w:sz="4" w:space="0" w:color="auto"/>
            </w:tcBorders>
            <w:shd w:val="clear" w:color="000000" w:fill="FFFF99"/>
            <w:vAlign w:val="center"/>
            <w:hideMark/>
          </w:tcPr>
          <w:p w14:paraId="20E125C0" w14:textId="77777777" w:rsidR="005B19B0" w:rsidRPr="005B19B0" w:rsidRDefault="005B19B0" w:rsidP="005B19B0">
            <w:pPr>
              <w:ind w:firstLine="0"/>
              <w:jc w:val="center"/>
              <w:rPr>
                <w:b/>
                <w:bCs/>
                <w:sz w:val="22"/>
                <w:szCs w:val="22"/>
                <w:lang w:eastAsia="lt-LT"/>
              </w:rPr>
            </w:pPr>
            <w:r w:rsidRPr="005B19B0">
              <w:rPr>
                <w:b/>
                <w:bCs/>
                <w:sz w:val="22"/>
                <w:szCs w:val="22"/>
                <w:lang w:eastAsia="lt-LT"/>
              </w:rPr>
              <w:t>1622,3</w:t>
            </w:r>
          </w:p>
        </w:tc>
      </w:tr>
      <w:tr w:rsidR="00B23D27" w:rsidRPr="005B19B0" w14:paraId="72DCBEAD" w14:textId="77777777" w:rsidTr="00BC6AC2">
        <w:trPr>
          <w:trHeight w:val="709"/>
        </w:trPr>
        <w:tc>
          <w:tcPr>
            <w:tcW w:w="2621" w:type="pct"/>
            <w:tcBorders>
              <w:top w:val="nil"/>
              <w:left w:val="single" w:sz="4" w:space="0" w:color="auto"/>
              <w:bottom w:val="single" w:sz="4" w:space="0" w:color="auto"/>
              <w:right w:val="single" w:sz="4" w:space="0" w:color="auto"/>
            </w:tcBorders>
            <w:shd w:val="clear" w:color="000000" w:fill="FFFF99"/>
            <w:vAlign w:val="center"/>
            <w:hideMark/>
          </w:tcPr>
          <w:p w14:paraId="45C8FE04" w14:textId="77777777" w:rsidR="005B19B0" w:rsidRPr="005B19B0" w:rsidRDefault="005B19B0" w:rsidP="005B19B0">
            <w:pPr>
              <w:ind w:firstLine="0"/>
              <w:jc w:val="left"/>
              <w:rPr>
                <w:b/>
                <w:bCs/>
                <w:sz w:val="24"/>
                <w:szCs w:val="24"/>
                <w:lang w:eastAsia="lt-LT"/>
              </w:rPr>
            </w:pPr>
            <w:r w:rsidRPr="005B19B0">
              <w:rPr>
                <w:b/>
                <w:bCs/>
                <w:sz w:val="24"/>
                <w:szCs w:val="24"/>
                <w:lang w:eastAsia="lt-LT"/>
              </w:rPr>
              <w:t>iš jų išlaidos finansiniams įsipareigojimams vykdyti (paskolų grąžinimas)</w:t>
            </w:r>
          </w:p>
        </w:tc>
        <w:tc>
          <w:tcPr>
            <w:tcW w:w="704" w:type="pct"/>
            <w:tcBorders>
              <w:top w:val="nil"/>
              <w:left w:val="nil"/>
              <w:bottom w:val="single" w:sz="4" w:space="0" w:color="auto"/>
              <w:right w:val="single" w:sz="4" w:space="0" w:color="auto"/>
            </w:tcBorders>
            <w:shd w:val="clear" w:color="000000" w:fill="FFFF99"/>
            <w:noWrap/>
            <w:vAlign w:val="center"/>
            <w:hideMark/>
          </w:tcPr>
          <w:p w14:paraId="4AC5C8E0" w14:textId="77777777" w:rsidR="005B19B0" w:rsidRPr="005B19B0" w:rsidRDefault="005B19B0" w:rsidP="005B19B0">
            <w:pPr>
              <w:ind w:firstLine="0"/>
              <w:jc w:val="center"/>
              <w:rPr>
                <w:b/>
                <w:bCs/>
                <w:sz w:val="24"/>
                <w:szCs w:val="24"/>
                <w:lang w:eastAsia="lt-LT"/>
              </w:rPr>
            </w:pPr>
            <w:r w:rsidRPr="005B19B0">
              <w:rPr>
                <w:b/>
                <w:bCs/>
                <w:sz w:val="24"/>
                <w:szCs w:val="24"/>
                <w:lang w:eastAsia="lt-LT"/>
              </w:rPr>
              <w:t>658,3</w:t>
            </w:r>
          </w:p>
        </w:tc>
        <w:tc>
          <w:tcPr>
            <w:tcW w:w="699" w:type="pct"/>
            <w:tcBorders>
              <w:top w:val="nil"/>
              <w:left w:val="nil"/>
              <w:bottom w:val="single" w:sz="4" w:space="0" w:color="auto"/>
              <w:right w:val="single" w:sz="4" w:space="0" w:color="auto"/>
            </w:tcBorders>
            <w:shd w:val="clear" w:color="000000" w:fill="FFFF99"/>
            <w:noWrap/>
            <w:vAlign w:val="center"/>
            <w:hideMark/>
          </w:tcPr>
          <w:p w14:paraId="20B82905" w14:textId="77777777" w:rsidR="005B19B0" w:rsidRPr="005B19B0" w:rsidRDefault="005B19B0" w:rsidP="005B19B0">
            <w:pPr>
              <w:ind w:firstLine="0"/>
              <w:jc w:val="center"/>
              <w:rPr>
                <w:b/>
                <w:bCs/>
                <w:sz w:val="24"/>
                <w:szCs w:val="24"/>
                <w:lang w:eastAsia="lt-LT"/>
              </w:rPr>
            </w:pPr>
            <w:r w:rsidRPr="005B19B0">
              <w:rPr>
                <w:b/>
                <w:bCs/>
                <w:sz w:val="24"/>
                <w:szCs w:val="24"/>
                <w:lang w:eastAsia="lt-LT"/>
              </w:rPr>
              <w:t>738,6</w:t>
            </w:r>
          </w:p>
        </w:tc>
        <w:tc>
          <w:tcPr>
            <w:tcW w:w="524" w:type="pct"/>
            <w:tcBorders>
              <w:top w:val="nil"/>
              <w:left w:val="nil"/>
              <w:bottom w:val="single" w:sz="4" w:space="0" w:color="auto"/>
              <w:right w:val="single" w:sz="4" w:space="0" w:color="auto"/>
            </w:tcBorders>
            <w:shd w:val="clear" w:color="000000" w:fill="FFFF99"/>
            <w:vAlign w:val="center"/>
            <w:hideMark/>
          </w:tcPr>
          <w:p w14:paraId="540A7105" w14:textId="2789B497" w:rsidR="005B19B0" w:rsidRPr="005B19B0" w:rsidRDefault="005B19B0" w:rsidP="005B19B0">
            <w:pPr>
              <w:ind w:firstLine="0"/>
              <w:jc w:val="center"/>
              <w:rPr>
                <w:b/>
                <w:bCs/>
                <w:sz w:val="22"/>
                <w:szCs w:val="22"/>
                <w:lang w:eastAsia="lt-LT"/>
              </w:rPr>
            </w:pPr>
            <w:r w:rsidRPr="005B19B0">
              <w:rPr>
                <w:b/>
                <w:bCs/>
                <w:sz w:val="22"/>
                <w:szCs w:val="22"/>
                <w:lang w:eastAsia="lt-LT"/>
              </w:rPr>
              <w:t>12,2</w:t>
            </w:r>
          </w:p>
        </w:tc>
        <w:tc>
          <w:tcPr>
            <w:tcW w:w="452" w:type="pct"/>
            <w:tcBorders>
              <w:top w:val="nil"/>
              <w:left w:val="nil"/>
              <w:bottom w:val="single" w:sz="4" w:space="0" w:color="auto"/>
              <w:right w:val="single" w:sz="4" w:space="0" w:color="auto"/>
            </w:tcBorders>
            <w:shd w:val="clear" w:color="000000" w:fill="FFFF99"/>
            <w:vAlign w:val="center"/>
            <w:hideMark/>
          </w:tcPr>
          <w:p w14:paraId="2F9E9C3E" w14:textId="77777777" w:rsidR="005B19B0" w:rsidRPr="005B19B0" w:rsidRDefault="005B19B0" w:rsidP="005B19B0">
            <w:pPr>
              <w:ind w:firstLine="0"/>
              <w:jc w:val="center"/>
              <w:rPr>
                <w:b/>
                <w:bCs/>
                <w:sz w:val="22"/>
                <w:szCs w:val="22"/>
                <w:lang w:eastAsia="lt-LT"/>
              </w:rPr>
            </w:pPr>
            <w:r w:rsidRPr="005B19B0">
              <w:rPr>
                <w:b/>
                <w:bCs/>
                <w:sz w:val="22"/>
                <w:szCs w:val="22"/>
                <w:lang w:eastAsia="lt-LT"/>
              </w:rPr>
              <w:t>80,3</w:t>
            </w:r>
          </w:p>
        </w:tc>
      </w:tr>
    </w:tbl>
    <w:p w14:paraId="480280A4" w14:textId="77777777" w:rsidR="00353E2C" w:rsidRPr="00353E2C" w:rsidRDefault="00353E2C" w:rsidP="008D6635">
      <w:pPr>
        <w:tabs>
          <w:tab w:val="left" w:pos="993"/>
        </w:tabs>
        <w:spacing w:line="360" w:lineRule="auto"/>
        <w:ind w:firstLine="992"/>
        <w:rPr>
          <w:color w:val="000000"/>
          <w:sz w:val="16"/>
          <w:szCs w:val="16"/>
        </w:rPr>
      </w:pPr>
    </w:p>
    <w:p w14:paraId="5A7F7CC3" w14:textId="68455CB5" w:rsidR="00EB03DB" w:rsidRPr="00EB03DB" w:rsidRDefault="00EB03DB" w:rsidP="008D6635">
      <w:pPr>
        <w:tabs>
          <w:tab w:val="left" w:pos="993"/>
        </w:tabs>
        <w:spacing w:line="360" w:lineRule="auto"/>
        <w:ind w:firstLine="992"/>
        <w:rPr>
          <w:color w:val="000000"/>
          <w:sz w:val="24"/>
          <w:szCs w:val="24"/>
        </w:rPr>
      </w:pPr>
      <w:r w:rsidRPr="00EB03DB">
        <w:rPr>
          <w:color w:val="000000"/>
          <w:sz w:val="24"/>
          <w:szCs w:val="24"/>
        </w:rPr>
        <w:t>Pagrindinis rodiklis, lemiantis savivaldybių biudžetų pajamų apimtį, yra</w:t>
      </w:r>
      <w:r w:rsidR="008D6635">
        <w:rPr>
          <w:color w:val="000000"/>
          <w:sz w:val="24"/>
          <w:szCs w:val="24"/>
        </w:rPr>
        <w:t xml:space="preserve"> Valstybės biudžeto </w:t>
      </w:r>
      <w:r w:rsidRPr="00EB03DB">
        <w:rPr>
          <w:color w:val="000000"/>
          <w:sz w:val="24"/>
          <w:szCs w:val="24"/>
        </w:rPr>
        <w:t>įstatymu tvirtinama GPM dalis (procentais), tenkanti savivaldybių biudžetams. 202</w:t>
      </w:r>
      <w:r w:rsidR="00CC2AE2">
        <w:rPr>
          <w:color w:val="000000"/>
          <w:sz w:val="24"/>
          <w:szCs w:val="24"/>
        </w:rPr>
        <w:t>2</w:t>
      </w:r>
      <w:r w:rsidRPr="00EB03DB">
        <w:rPr>
          <w:color w:val="000000"/>
          <w:sz w:val="24"/>
          <w:szCs w:val="24"/>
        </w:rPr>
        <w:t xml:space="preserve"> metams savivaldybių biudžetams patvirtinta </w:t>
      </w:r>
      <w:r w:rsidR="00ED3BA1">
        <w:rPr>
          <w:color w:val="000000"/>
          <w:sz w:val="24"/>
          <w:szCs w:val="24"/>
        </w:rPr>
        <w:t>50,88</w:t>
      </w:r>
      <w:r w:rsidRPr="00EB03DB">
        <w:rPr>
          <w:color w:val="000000"/>
          <w:sz w:val="24"/>
          <w:szCs w:val="24"/>
        </w:rPr>
        <w:t xml:space="preserve"> proc. GPM įplaukų nuo visų GPM įplaukų į konsoliduotus valstybės ir savivaldybių biudžetus (202</w:t>
      </w:r>
      <w:r w:rsidR="00ED3BA1">
        <w:rPr>
          <w:color w:val="000000"/>
          <w:sz w:val="24"/>
          <w:szCs w:val="24"/>
        </w:rPr>
        <w:t>2</w:t>
      </w:r>
      <w:r w:rsidRPr="00EB03DB">
        <w:rPr>
          <w:color w:val="000000"/>
          <w:sz w:val="24"/>
          <w:szCs w:val="24"/>
        </w:rPr>
        <w:t xml:space="preserve"> m. patvirtinta </w:t>
      </w:r>
      <w:r w:rsidR="00F56E28">
        <w:rPr>
          <w:color w:val="000000"/>
          <w:sz w:val="24"/>
          <w:szCs w:val="24"/>
        </w:rPr>
        <w:t>48,1</w:t>
      </w:r>
      <w:r w:rsidR="00ED3BA1">
        <w:rPr>
          <w:color w:val="000000"/>
          <w:sz w:val="24"/>
          <w:szCs w:val="24"/>
        </w:rPr>
        <w:t>2</w:t>
      </w:r>
      <w:r w:rsidRPr="00EB03DB">
        <w:rPr>
          <w:color w:val="000000"/>
          <w:sz w:val="24"/>
          <w:szCs w:val="24"/>
        </w:rPr>
        <w:t xml:space="preserve"> proc.): pastovioji dalis – </w:t>
      </w:r>
      <w:r w:rsidR="00ED3BA1">
        <w:rPr>
          <w:color w:val="000000"/>
          <w:sz w:val="24"/>
          <w:szCs w:val="24"/>
        </w:rPr>
        <w:t>43,76</w:t>
      </w:r>
      <w:r w:rsidRPr="00EB03DB">
        <w:rPr>
          <w:color w:val="000000"/>
          <w:sz w:val="24"/>
          <w:szCs w:val="24"/>
        </w:rPr>
        <w:t xml:space="preserve"> proc. (202</w:t>
      </w:r>
      <w:r w:rsidR="00ED3BA1">
        <w:rPr>
          <w:color w:val="000000"/>
          <w:sz w:val="24"/>
          <w:szCs w:val="24"/>
        </w:rPr>
        <w:t>2</w:t>
      </w:r>
      <w:r w:rsidRPr="00EB03DB">
        <w:rPr>
          <w:color w:val="000000"/>
          <w:sz w:val="24"/>
          <w:szCs w:val="24"/>
        </w:rPr>
        <w:t xml:space="preserve"> m. patvirtinta  </w:t>
      </w:r>
      <w:r w:rsidR="00ED3BA1">
        <w:rPr>
          <w:color w:val="000000"/>
          <w:sz w:val="24"/>
          <w:szCs w:val="24"/>
        </w:rPr>
        <w:t>42,77</w:t>
      </w:r>
      <w:r w:rsidRPr="00EB03DB">
        <w:rPr>
          <w:color w:val="000000"/>
          <w:sz w:val="24"/>
          <w:szCs w:val="24"/>
        </w:rPr>
        <w:t xml:space="preserve"> proc.) ir kintamoji dalis – </w:t>
      </w:r>
      <w:r w:rsidR="00ED3BA1">
        <w:rPr>
          <w:color w:val="000000"/>
          <w:sz w:val="24"/>
          <w:szCs w:val="24"/>
        </w:rPr>
        <w:t>7,12</w:t>
      </w:r>
      <w:r w:rsidRPr="00EB03DB">
        <w:rPr>
          <w:color w:val="000000"/>
          <w:sz w:val="24"/>
          <w:szCs w:val="24"/>
        </w:rPr>
        <w:t xml:space="preserve"> proc. (202</w:t>
      </w:r>
      <w:r w:rsidR="00ED3BA1">
        <w:rPr>
          <w:color w:val="000000"/>
          <w:sz w:val="24"/>
          <w:szCs w:val="24"/>
        </w:rPr>
        <w:t>2</w:t>
      </w:r>
      <w:r w:rsidRPr="00EB03DB">
        <w:rPr>
          <w:color w:val="000000"/>
          <w:sz w:val="24"/>
          <w:szCs w:val="24"/>
        </w:rPr>
        <w:t xml:space="preserve"> m. patvirtinta  </w:t>
      </w:r>
      <w:r w:rsidR="00F56E28">
        <w:rPr>
          <w:color w:val="000000"/>
          <w:sz w:val="24"/>
          <w:szCs w:val="24"/>
        </w:rPr>
        <w:t>5,</w:t>
      </w:r>
      <w:r w:rsidR="00ED3BA1">
        <w:rPr>
          <w:color w:val="000000"/>
          <w:sz w:val="24"/>
          <w:szCs w:val="24"/>
        </w:rPr>
        <w:t>35</w:t>
      </w:r>
      <w:r w:rsidRPr="00EB03DB">
        <w:rPr>
          <w:color w:val="000000"/>
          <w:sz w:val="24"/>
          <w:szCs w:val="24"/>
        </w:rPr>
        <w:t xml:space="preserve"> proc.). </w:t>
      </w:r>
    </w:p>
    <w:p w14:paraId="67E22712" w14:textId="1A2FF7F6" w:rsidR="00EB03DB" w:rsidRPr="00EB03DB" w:rsidRDefault="00EB03DB" w:rsidP="008D6635">
      <w:pPr>
        <w:tabs>
          <w:tab w:val="left" w:pos="993"/>
        </w:tabs>
        <w:spacing w:line="360" w:lineRule="auto"/>
        <w:ind w:firstLine="992"/>
        <w:rPr>
          <w:color w:val="000000"/>
          <w:sz w:val="24"/>
          <w:szCs w:val="24"/>
        </w:rPr>
      </w:pPr>
      <w:r w:rsidRPr="00EB03DB">
        <w:rPr>
          <w:color w:val="000000"/>
          <w:sz w:val="24"/>
          <w:szCs w:val="24"/>
        </w:rPr>
        <w:tab/>
      </w:r>
      <w:r w:rsidR="00D014D9">
        <w:rPr>
          <w:color w:val="000000"/>
          <w:sz w:val="24"/>
          <w:szCs w:val="24"/>
        </w:rPr>
        <w:t>Savivaldybei</w:t>
      </w:r>
      <w:r w:rsidR="00F56E28">
        <w:rPr>
          <w:color w:val="000000"/>
          <w:sz w:val="24"/>
          <w:szCs w:val="24"/>
        </w:rPr>
        <w:t xml:space="preserve"> skiriamą</w:t>
      </w:r>
      <w:r w:rsidRPr="00EB03DB">
        <w:rPr>
          <w:color w:val="000000"/>
          <w:sz w:val="24"/>
          <w:szCs w:val="24"/>
        </w:rPr>
        <w:t xml:space="preserve"> kintamąją GPM dalį (</w:t>
      </w:r>
      <w:r w:rsidR="00ED3BA1">
        <w:rPr>
          <w:color w:val="000000"/>
          <w:sz w:val="24"/>
          <w:szCs w:val="24"/>
        </w:rPr>
        <w:t>3210</w:t>
      </w:r>
      <w:r w:rsidRPr="00EB03DB">
        <w:rPr>
          <w:color w:val="000000"/>
          <w:sz w:val="24"/>
          <w:szCs w:val="24"/>
        </w:rPr>
        <w:t xml:space="preserve"> tūkst. eurų) sudaro:</w:t>
      </w:r>
    </w:p>
    <w:p w14:paraId="6A01BC65" w14:textId="025650DD" w:rsidR="00EB03DB" w:rsidRPr="00EB03DB" w:rsidRDefault="000B54B2" w:rsidP="000B54B2">
      <w:pPr>
        <w:tabs>
          <w:tab w:val="left" w:pos="993"/>
        </w:tabs>
        <w:spacing w:line="360" w:lineRule="auto"/>
        <w:ind w:left="992" w:firstLine="0"/>
        <w:rPr>
          <w:color w:val="000000"/>
          <w:sz w:val="24"/>
          <w:szCs w:val="24"/>
        </w:rPr>
      </w:pPr>
      <w:r>
        <w:rPr>
          <w:color w:val="000000"/>
          <w:sz w:val="24"/>
          <w:szCs w:val="24"/>
        </w:rPr>
        <w:t xml:space="preserve">1. </w:t>
      </w:r>
      <w:r w:rsidR="00EB03DB" w:rsidRPr="00EB03DB">
        <w:rPr>
          <w:color w:val="000000"/>
          <w:sz w:val="24"/>
          <w:szCs w:val="24"/>
        </w:rPr>
        <w:t>201</w:t>
      </w:r>
      <w:r w:rsidR="00ED3BA1">
        <w:rPr>
          <w:color w:val="000000"/>
          <w:sz w:val="24"/>
          <w:szCs w:val="24"/>
        </w:rPr>
        <w:t>9</w:t>
      </w:r>
      <w:r w:rsidR="00F56E28">
        <w:rPr>
          <w:color w:val="000000"/>
          <w:sz w:val="24"/>
          <w:szCs w:val="24"/>
        </w:rPr>
        <w:t>–202</w:t>
      </w:r>
      <w:r w:rsidR="00ED3BA1">
        <w:rPr>
          <w:color w:val="000000"/>
          <w:sz w:val="24"/>
          <w:szCs w:val="24"/>
        </w:rPr>
        <w:t>2</w:t>
      </w:r>
      <w:r w:rsidR="00F56E28">
        <w:rPr>
          <w:color w:val="000000"/>
          <w:sz w:val="24"/>
          <w:szCs w:val="24"/>
        </w:rPr>
        <w:t xml:space="preserve"> </w:t>
      </w:r>
      <w:r w:rsidR="00EB03DB" w:rsidRPr="00EB03DB">
        <w:rPr>
          <w:color w:val="000000"/>
          <w:sz w:val="24"/>
          <w:szCs w:val="24"/>
        </w:rPr>
        <w:t>m. sumos kintamajai GPM daliai apskaičiuoti (</w:t>
      </w:r>
      <w:r w:rsidR="00ED3BA1">
        <w:rPr>
          <w:color w:val="000000"/>
          <w:sz w:val="24"/>
          <w:szCs w:val="24"/>
        </w:rPr>
        <w:t>2129</w:t>
      </w:r>
      <w:r w:rsidR="00EB03DB" w:rsidRPr="00EB03DB">
        <w:rPr>
          <w:color w:val="000000"/>
          <w:sz w:val="24"/>
          <w:szCs w:val="24"/>
        </w:rPr>
        <w:t xml:space="preserve"> tūkst. eurų).</w:t>
      </w:r>
    </w:p>
    <w:p w14:paraId="7B4F7889" w14:textId="3607F650" w:rsidR="00EB03DB" w:rsidRPr="000B54B2" w:rsidRDefault="000B54B2" w:rsidP="000B54B2">
      <w:pPr>
        <w:tabs>
          <w:tab w:val="left" w:pos="993"/>
        </w:tabs>
        <w:spacing w:line="360" w:lineRule="auto"/>
        <w:rPr>
          <w:color w:val="FF0000"/>
          <w:sz w:val="24"/>
          <w:szCs w:val="24"/>
        </w:rPr>
      </w:pPr>
      <w:r>
        <w:rPr>
          <w:color w:val="000000"/>
          <w:sz w:val="24"/>
          <w:szCs w:val="24"/>
        </w:rPr>
        <w:tab/>
        <w:t xml:space="preserve">2. </w:t>
      </w:r>
      <w:r w:rsidR="00EB03DB" w:rsidRPr="000B54B2">
        <w:rPr>
          <w:color w:val="000000"/>
          <w:sz w:val="24"/>
          <w:szCs w:val="24"/>
        </w:rPr>
        <w:t>202</w:t>
      </w:r>
      <w:r w:rsidR="00ED3BA1" w:rsidRPr="000B54B2">
        <w:rPr>
          <w:color w:val="000000"/>
          <w:sz w:val="24"/>
          <w:szCs w:val="24"/>
        </w:rPr>
        <w:t>3</w:t>
      </w:r>
      <w:r w:rsidR="00EB03DB" w:rsidRPr="000B54B2">
        <w:rPr>
          <w:color w:val="000000"/>
          <w:sz w:val="24"/>
          <w:szCs w:val="24"/>
        </w:rPr>
        <w:t xml:space="preserve"> m. išlaidų pokyčiams kompensuoti dėl Seimo ir Vyriausybės priimtų sprendimų (</w:t>
      </w:r>
      <w:r w:rsidR="00ED3BA1" w:rsidRPr="000B54B2">
        <w:rPr>
          <w:color w:val="000000"/>
          <w:sz w:val="24"/>
          <w:szCs w:val="24"/>
        </w:rPr>
        <w:t>1081</w:t>
      </w:r>
      <w:r w:rsidR="00D45BF2" w:rsidRPr="000B54B2">
        <w:rPr>
          <w:color w:val="000000"/>
          <w:sz w:val="24"/>
          <w:szCs w:val="24"/>
        </w:rPr>
        <w:t xml:space="preserve"> </w:t>
      </w:r>
      <w:r w:rsidR="00EB03DB" w:rsidRPr="000B54B2">
        <w:rPr>
          <w:color w:val="000000"/>
          <w:sz w:val="24"/>
          <w:szCs w:val="24"/>
        </w:rPr>
        <w:t>tūkst. eurų)</w:t>
      </w:r>
      <w:r w:rsidRPr="000B54B2">
        <w:rPr>
          <w:color w:val="000000"/>
          <w:sz w:val="24"/>
          <w:szCs w:val="24"/>
        </w:rPr>
        <w:t>, t. y.</w:t>
      </w:r>
      <w:r w:rsidR="00F56E28" w:rsidRPr="000B54B2">
        <w:rPr>
          <w:color w:val="FF0000"/>
          <w:sz w:val="24"/>
          <w:szCs w:val="24"/>
        </w:rPr>
        <w:t xml:space="preserve"> </w:t>
      </w:r>
      <w:r w:rsidR="00F56E28" w:rsidRPr="00E061D7">
        <w:rPr>
          <w:sz w:val="24"/>
          <w:szCs w:val="24"/>
        </w:rPr>
        <w:t>minimaliesiems koeficientams padidinti</w:t>
      </w:r>
      <w:r w:rsidRPr="00E061D7">
        <w:rPr>
          <w:sz w:val="24"/>
          <w:szCs w:val="24"/>
        </w:rPr>
        <w:t xml:space="preserve">, </w:t>
      </w:r>
      <w:r w:rsidR="00EB03DB" w:rsidRPr="00E061D7">
        <w:rPr>
          <w:sz w:val="24"/>
          <w:szCs w:val="24"/>
        </w:rPr>
        <w:t>pareiginės algos (atlyginimo) baziniam dydžiui padidinti</w:t>
      </w:r>
      <w:r w:rsidRPr="00E061D7">
        <w:rPr>
          <w:sz w:val="24"/>
          <w:szCs w:val="24"/>
        </w:rPr>
        <w:t xml:space="preserve">, minimaliajai </w:t>
      </w:r>
      <w:r w:rsidR="00EB03DB" w:rsidRPr="00E061D7">
        <w:rPr>
          <w:sz w:val="24"/>
          <w:szCs w:val="24"/>
        </w:rPr>
        <w:t>mėnesinei algai padidinti</w:t>
      </w:r>
      <w:r w:rsidRPr="00E061D7">
        <w:rPr>
          <w:sz w:val="24"/>
          <w:szCs w:val="24"/>
        </w:rPr>
        <w:t xml:space="preserve"> ir kitiems pokyčiams. </w:t>
      </w:r>
    </w:p>
    <w:p w14:paraId="7DF8DB90" w14:textId="794A74EF" w:rsidR="00694553" w:rsidRPr="00D45BF2" w:rsidRDefault="004667FB" w:rsidP="001E5FC4">
      <w:pPr>
        <w:tabs>
          <w:tab w:val="left" w:pos="993"/>
        </w:tabs>
        <w:spacing w:line="360" w:lineRule="auto"/>
        <w:ind w:firstLine="0"/>
        <w:rPr>
          <w:sz w:val="24"/>
          <w:szCs w:val="24"/>
        </w:rPr>
      </w:pPr>
      <w:r w:rsidRPr="00ED3BA1">
        <w:rPr>
          <w:color w:val="FF0000"/>
          <w:sz w:val="24"/>
          <w:szCs w:val="24"/>
        </w:rPr>
        <w:lastRenderedPageBreak/>
        <w:tab/>
      </w:r>
      <w:r w:rsidR="001E5FC4">
        <w:rPr>
          <w:sz w:val="24"/>
          <w:szCs w:val="24"/>
        </w:rPr>
        <w:t xml:space="preserve">Atsižvelgiant į 2022 metų </w:t>
      </w:r>
      <w:r w:rsidR="00CC2578">
        <w:rPr>
          <w:sz w:val="24"/>
          <w:szCs w:val="24"/>
        </w:rPr>
        <w:t xml:space="preserve">biudžeto </w:t>
      </w:r>
      <w:r w:rsidR="001E5FC4">
        <w:rPr>
          <w:sz w:val="24"/>
          <w:szCs w:val="24"/>
        </w:rPr>
        <w:t>įvykdym</w:t>
      </w:r>
      <w:r w:rsidR="000B54B2">
        <w:rPr>
          <w:sz w:val="24"/>
          <w:szCs w:val="24"/>
        </w:rPr>
        <w:t>o dydžius</w:t>
      </w:r>
      <w:r w:rsidR="001E5FC4">
        <w:rPr>
          <w:sz w:val="24"/>
          <w:szCs w:val="24"/>
        </w:rPr>
        <w:t xml:space="preserve">, 135 tūkst. eurų didėja prognozuojamos pajamos iš mokesčių. </w:t>
      </w:r>
      <w:r w:rsidR="00901E66">
        <w:rPr>
          <w:sz w:val="24"/>
          <w:szCs w:val="24"/>
        </w:rPr>
        <w:t>P</w:t>
      </w:r>
      <w:r>
        <w:rPr>
          <w:sz w:val="24"/>
          <w:szCs w:val="24"/>
        </w:rPr>
        <w:t xml:space="preserve">lanuojama surinkti – </w:t>
      </w:r>
      <w:r w:rsidR="001E5FC4">
        <w:rPr>
          <w:sz w:val="24"/>
          <w:szCs w:val="24"/>
        </w:rPr>
        <w:t>450</w:t>
      </w:r>
      <w:r>
        <w:rPr>
          <w:sz w:val="24"/>
          <w:szCs w:val="24"/>
        </w:rPr>
        <w:t xml:space="preserve"> tūkst. eurų žemės mokesčio</w:t>
      </w:r>
      <w:r w:rsidR="000B54B2">
        <w:rPr>
          <w:sz w:val="24"/>
          <w:szCs w:val="24"/>
        </w:rPr>
        <w:t xml:space="preserve"> (100 tūkst. eurų daugiau nei planuota 2022 m.),</w:t>
      </w:r>
      <w:r>
        <w:rPr>
          <w:sz w:val="24"/>
          <w:szCs w:val="24"/>
        </w:rPr>
        <w:t xml:space="preserve"> </w:t>
      </w:r>
      <w:r w:rsidR="001E5FC4">
        <w:rPr>
          <w:sz w:val="24"/>
          <w:szCs w:val="24"/>
        </w:rPr>
        <w:t>300</w:t>
      </w:r>
      <w:r>
        <w:rPr>
          <w:sz w:val="24"/>
          <w:szCs w:val="24"/>
        </w:rPr>
        <w:t xml:space="preserve"> tūkst. eurų nekilnojamojo turto mokesčio</w:t>
      </w:r>
      <w:r w:rsidR="000B54B2">
        <w:rPr>
          <w:sz w:val="24"/>
          <w:szCs w:val="24"/>
        </w:rPr>
        <w:t xml:space="preserve"> (daugiau  30 tūkst. eurų)</w:t>
      </w:r>
      <w:r w:rsidR="001E5FC4">
        <w:rPr>
          <w:sz w:val="24"/>
          <w:szCs w:val="24"/>
        </w:rPr>
        <w:t xml:space="preserve"> ir 10 tūkst. paveldimo turto mokesčių. </w:t>
      </w:r>
    </w:p>
    <w:p w14:paraId="4F0C3067" w14:textId="1668EB62" w:rsidR="00694553" w:rsidRPr="00D45BF2" w:rsidRDefault="00694553" w:rsidP="00694553">
      <w:pPr>
        <w:spacing w:line="360" w:lineRule="auto"/>
        <w:ind w:firstLine="992"/>
        <w:rPr>
          <w:sz w:val="24"/>
          <w:szCs w:val="24"/>
        </w:rPr>
      </w:pPr>
      <w:r w:rsidRPr="00D45BF2">
        <w:rPr>
          <w:sz w:val="24"/>
          <w:szCs w:val="24"/>
        </w:rPr>
        <w:t xml:space="preserve">Žemės nuomos mokesčio surinkimo planas – </w:t>
      </w:r>
      <w:r w:rsidR="001E5FC4">
        <w:rPr>
          <w:sz w:val="24"/>
          <w:szCs w:val="24"/>
        </w:rPr>
        <w:t>150</w:t>
      </w:r>
      <w:r w:rsidR="00EE45FB">
        <w:rPr>
          <w:sz w:val="24"/>
          <w:szCs w:val="24"/>
        </w:rPr>
        <w:t xml:space="preserve"> </w:t>
      </w:r>
      <w:r w:rsidRPr="00D45BF2">
        <w:rPr>
          <w:sz w:val="24"/>
          <w:szCs w:val="24"/>
        </w:rPr>
        <w:t xml:space="preserve">tūkst. eurų, t. y. </w:t>
      </w:r>
      <w:r w:rsidR="001E5FC4">
        <w:rPr>
          <w:sz w:val="24"/>
          <w:szCs w:val="24"/>
        </w:rPr>
        <w:t>66,7</w:t>
      </w:r>
      <w:r w:rsidRPr="00D45BF2">
        <w:rPr>
          <w:sz w:val="24"/>
          <w:szCs w:val="24"/>
        </w:rPr>
        <w:t xml:space="preserve"> proc. arba </w:t>
      </w:r>
      <w:r w:rsidR="001E5FC4">
        <w:rPr>
          <w:sz w:val="24"/>
          <w:szCs w:val="24"/>
        </w:rPr>
        <w:t>60</w:t>
      </w:r>
      <w:r w:rsidRPr="00D45BF2">
        <w:rPr>
          <w:sz w:val="24"/>
          <w:szCs w:val="24"/>
        </w:rPr>
        <w:t xml:space="preserve"> tūkst.</w:t>
      </w:r>
      <w:r w:rsidR="00CC2578">
        <w:rPr>
          <w:sz w:val="24"/>
          <w:szCs w:val="24"/>
        </w:rPr>
        <w:t xml:space="preserve"> eurų </w:t>
      </w:r>
      <w:r w:rsidRPr="00D45BF2">
        <w:rPr>
          <w:sz w:val="24"/>
          <w:szCs w:val="24"/>
        </w:rPr>
        <w:t>daugiau nei planuota 20</w:t>
      </w:r>
      <w:r w:rsidR="009828ED" w:rsidRPr="00D45BF2">
        <w:rPr>
          <w:sz w:val="24"/>
          <w:szCs w:val="24"/>
        </w:rPr>
        <w:t>2</w:t>
      </w:r>
      <w:r w:rsidR="002661B4">
        <w:rPr>
          <w:sz w:val="24"/>
          <w:szCs w:val="24"/>
        </w:rPr>
        <w:t>2</w:t>
      </w:r>
      <w:r w:rsidRPr="00D45BF2">
        <w:rPr>
          <w:sz w:val="24"/>
          <w:szCs w:val="24"/>
        </w:rPr>
        <w:t xml:space="preserve"> m.</w:t>
      </w:r>
    </w:p>
    <w:p w14:paraId="0762E895" w14:textId="346B1A59" w:rsidR="00694553" w:rsidRPr="00D45BF2" w:rsidRDefault="00694553" w:rsidP="00694553">
      <w:pPr>
        <w:spacing w:line="360" w:lineRule="auto"/>
        <w:ind w:firstLine="992"/>
        <w:rPr>
          <w:sz w:val="24"/>
          <w:szCs w:val="24"/>
        </w:rPr>
      </w:pPr>
      <w:r w:rsidRPr="00D45BF2">
        <w:rPr>
          <w:sz w:val="24"/>
          <w:szCs w:val="24"/>
        </w:rPr>
        <w:t xml:space="preserve">Savivaldybės biudžetinės įstaigos planuoja surinkti </w:t>
      </w:r>
      <w:r w:rsidR="002661B4">
        <w:rPr>
          <w:sz w:val="24"/>
          <w:szCs w:val="24"/>
        </w:rPr>
        <w:t>575,1</w:t>
      </w:r>
      <w:r w:rsidRPr="00D45BF2">
        <w:rPr>
          <w:sz w:val="24"/>
          <w:szCs w:val="24"/>
        </w:rPr>
        <w:t xml:space="preserve"> tūkst. eurų pajamų už suteiktas paslaugas, ilgalaikio ir trumpalaikio materialiojo turto ir už išlaikymą švietimo, socialinės apsaugos bei kitose įstaigose.</w:t>
      </w:r>
    </w:p>
    <w:p w14:paraId="0F7F8FFF" w14:textId="521ACF7D" w:rsidR="009A1BB0" w:rsidRDefault="00694553" w:rsidP="001E66F6">
      <w:pPr>
        <w:spacing w:line="360" w:lineRule="auto"/>
        <w:ind w:firstLine="992"/>
        <w:rPr>
          <w:sz w:val="24"/>
          <w:szCs w:val="24"/>
        </w:rPr>
      </w:pPr>
      <w:r w:rsidRPr="00D45BF2">
        <w:rPr>
          <w:sz w:val="24"/>
          <w:szCs w:val="24"/>
        </w:rPr>
        <w:t>Konkrečioms išlaidoms finansuoti Savivaldybei 202</w:t>
      </w:r>
      <w:r w:rsidR="002661B4">
        <w:rPr>
          <w:sz w:val="24"/>
          <w:szCs w:val="24"/>
        </w:rPr>
        <w:t>3</w:t>
      </w:r>
      <w:r w:rsidR="009F3ECA" w:rsidRPr="00D45BF2">
        <w:rPr>
          <w:sz w:val="24"/>
          <w:szCs w:val="24"/>
        </w:rPr>
        <w:t xml:space="preserve"> </w:t>
      </w:r>
      <w:r w:rsidRPr="00D45BF2">
        <w:rPr>
          <w:sz w:val="24"/>
          <w:szCs w:val="24"/>
        </w:rPr>
        <w:t xml:space="preserve">metais numatytos specialiosios tikslinės dotacijos iš valstybės biudžeto sudaro </w:t>
      </w:r>
      <w:r w:rsidR="002661B4">
        <w:rPr>
          <w:sz w:val="24"/>
          <w:szCs w:val="24"/>
        </w:rPr>
        <w:t>9179,6</w:t>
      </w:r>
      <w:r w:rsidR="002A4274">
        <w:rPr>
          <w:sz w:val="24"/>
          <w:szCs w:val="24"/>
        </w:rPr>
        <w:t xml:space="preserve"> </w:t>
      </w:r>
      <w:r w:rsidRPr="00D45BF2">
        <w:rPr>
          <w:sz w:val="24"/>
          <w:szCs w:val="24"/>
        </w:rPr>
        <w:t xml:space="preserve">tūkst. eurų, iš jų: valstybinėms (valstybės perduotoms savivaldybėms) funkcijoms vykdyti – </w:t>
      </w:r>
      <w:r w:rsidR="002661B4">
        <w:rPr>
          <w:sz w:val="24"/>
          <w:szCs w:val="24"/>
        </w:rPr>
        <w:t>2859,7</w:t>
      </w:r>
      <w:r w:rsidRPr="00D45BF2">
        <w:rPr>
          <w:color w:val="FF0000"/>
          <w:sz w:val="24"/>
          <w:szCs w:val="24"/>
        </w:rPr>
        <w:t xml:space="preserve"> </w:t>
      </w:r>
      <w:r w:rsidRPr="00D45BF2">
        <w:rPr>
          <w:sz w:val="24"/>
          <w:szCs w:val="24"/>
        </w:rPr>
        <w:t xml:space="preserve">tūkst. eurų, ugdymo reikmėms finansuoti – </w:t>
      </w:r>
      <w:r w:rsidR="002661B4">
        <w:rPr>
          <w:sz w:val="24"/>
          <w:szCs w:val="24"/>
        </w:rPr>
        <w:t>5760</w:t>
      </w:r>
      <w:r w:rsidRPr="00D45BF2">
        <w:rPr>
          <w:sz w:val="24"/>
          <w:szCs w:val="24"/>
        </w:rPr>
        <w:t xml:space="preserve"> tūkst. eurų, </w:t>
      </w:r>
      <w:r w:rsidR="002661B4">
        <w:rPr>
          <w:sz w:val="24"/>
          <w:szCs w:val="24"/>
        </w:rPr>
        <w:t>58,4</w:t>
      </w:r>
      <w:r w:rsidRPr="00D45BF2">
        <w:rPr>
          <w:sz w:val="24"/>
          <w:szCs w:val="24"/>
        </w:rPr>
        <w:t xml:space="preserve"> tūkst. eurų specialios tikslinės dotacijos Kupiškio mokyklos „Varpelis“ mokiniams, turintiems specialiųjų</w:t>
      </w:r>
      <w:r w:rsidR="00CC2578">
        <w:rPr>
          <w:sz w:val="24"/>
          <w:szCs w:val="24"/>
        </w:rPr>
        <w:t xml:space="preserve"> poreikių</w:t>
      </w:r>
      <w:r w:rsidRPr="00D45BF2">
        <w:rPr>
          <w:sz w:val="24"/>
          <w:szCs w:val="24"/>
        </w:rPr>
        <w:t xml:space="preserve">. </w:t>
      </w:r>
      <w:r w:rsidR="009828ED" w:rsidRPr="00D45BF2">
        <w:rPr>
          <w:sz w:val="24"/>
          <w:szCs w:val="24"/>
        </w:rPr>
        <w:t>Planuojama, kad 20</w:t>
      </w:r>
      <w:r w:rsidR="00DE21A8">
        <w:rPr>
          <w:sz w:val="24"/>
          <w:szCs w:val="24"/>
        </w:rPr>
        <w:t>23</w:t>
      </w:r>
      <w:r w:rsidR="009828ED" w:rsidRPr="00D45BF2">
        <w:rPr>
          <w:sz w:val="24"/>
          <w:szCs w:val="24"/>
        </w:rPr>
        <w:t xml:space="preserve"> metais į Savivaldybės biudžetą bus gauta </w:t>
      </w:r>
      <w:r w:rsidR="002661B4">
        <w:rPr>
          <w:sz w:val="24"/>
          <w:szCs w:val="24"/>
        </w:rPr>
        <w:t>501,5</w:t>
      </w:r>
      <w:r w:rsidR="009828ED" w:rsidRPr="00D45BF2">
        <w:rPr>
          <w:sz w:val="24"/>
          <w:szCs w:val="24"/>
        </w:rPr>
        <w:t xml:space="preserve"> tūkst. eurų kitos tikslinės paskirties valstybės biudžeto </w:t>
      </w:r>
      <w:r w:rsidR="00AB39D4" w:rsidRPr="00D45BF2">
        <w:rPr>
          <w:sz w:val="24"/>
          <w:szCs w:val="24"/>
        </w:rPr>
        <w:t xml:space="preserve">lėšų, iš jų: </w:t>
      </w:r>
      <w:r w:rsidR="009A3B62" w:rsidRPr="00D45BF2">
        <w:rPr>
          <w:sz w:val="24"/>
          <w:szCs w:val="24"/>
        </w:rPr>
        <w:t xml:space="preserve">akredituotai vaikų dienos socialinei priežiūrai organizuoti, teikti ir administruoti – </w:t>
      </w:r>
      <w:r w:rsidR="00DE21A8">
        <w:rPr>
          <w:sz w:val="24"/>
          <w:szCs w:val="24"/>
        </w:rPr>
        <w:t>124,3</w:t>
      </w:r>
      <w:r w:rsidR="009A3B62" w:rsidRPr="00D45BF2">
        <w:rPr>
          <w:sz w:val="24"/>
          <w:szCs w:val="24"/>
        </w:rPr>
        <w:t xml:space="preserve"> tūkst. eurų</w:t>
      </w:r>
      <w:r w:rsidR="00637BD5">
        <w:rPr>
          <w:sz w:val="24"/>
          <w:szCs w:val="24"/>
        </w:rPr>
        <w:t>,</w:t>
      </w:r>
      <w:r w:rsidR="009A3B62" w:rsidRPr="00D45BF2">
        <w:rPr>
          <w:sz w:val="24"/>
          <w:szCs w:val="24"/>
        </w:rPr>
        <w:t xml:space="preserve"> neformaliajam vaikų švietimui – </w:t>
      </w:r>
      <w:r w:rsidR="00DE21A8">
        <w:rPr>
          <w:sz w:val="24"/>
          <w:szCs w:val="24"/>
        </w:rPr>
        <w:t>81,6</w:t>
      </w:r>
      <w:r w:rsidR="009A3B62" w:rsidRPr="00D45BF2">
        <w:rPr>
          <w:sz w:val="24"/>
          <w:szCs w:val="24"/>
        </w:rPr>
        <w:t xml:space="preserve"> tūkst. eurų</w:t>
      </w:r>
      <w:r w:rsidR="00637BD5">
        <w:rPr>
          <w:sz w:val="24"/>
          <w:szCs w:val="24"/>
        </w:rPr>
        <w:t>,</w:t>
      </w:r>
      <w:r w:rsidR="009A3B62" w:rsidRPr="00D45BF2">
        <w:rPr>
          <w:sz w:val="24"/>
          <w:szCs w:val="24"/>
        </w:rPr>
        <w:t xml:space="preserve"> viešosioms bibliotekoms dokumentams įsigyti – 19,</w:t>
      </w:r>
      <w:r w:rsidR="00DE21A8">
        <w:rPr>
          <w:sz w:val="24"/>
          <w:szCs w:val="24"/>
        </w:rPr>
        <w:t>3</w:t>
      </w:r>
      <w:r w:rsidR="009A3B62" w:rsidRPr="00D45BF2">
        <w:rPr>
          <w:sz w:val="24"/>
          <w:szCs w:val="24"/>
        </w:rPr>
        <w:t xml:space="preserve"> tūkst. eurų</w:t>
      </w:r>
      <w:r w:rsidR="00637BD5">
        <w:rPr>
          <w:sz w:val="24"/>
          <w:szCs w:val="24"/>
        </w:rPr>
        <w:t>,</w:t>
      </w:r>
      <w:r w:rsidR="009D77A7">
        <w:rPr>
          <w:sz w:val="24"/>
          <w:szCs w:val="24"/>
        </w:rPr>
        <w:t xml:space="preserve"> </w:t>
      </w:r>
      <w:r w:rsidR="00DE21A8">
        <w:rPr>
          <w:sz w:val="24"/>
          <w:szCs w:val="24"/>
        </w:rPr>
        <w:t>asmeninei pagalbai teikti ir administruoti – 79,5 tūkst. eurų</w:t>
      </w:r>
      <w:r w:rsidR="00637BD5">
        <w:rPr>
          <w:sz w:val="24"/>
          <w:szCs w:val="24"/>
        </w:rPr>
        <w:t>,</w:t>
      </w:r>
      <w:r w:rsidR="00380469">
        <w:rPr>
          <w:sz w:val="24"/>
          <w:szCs w:val="24"/>
        </w:rPr>
        <w:t xml:space="preserve"> </w:t>
      </w:r>
      <w:r w:rsidR="00380469" w:rsidRPr="00380469">
        <w:rPr>
          <w:sz w:val="24"/>
          <w:szCs w:val="24"/>
        </w:rPr>
        <w:t>reabilitacijos paslaugų neįgaliesiems teikimo bendruomenėje projektams finansuot</w:t>
      </w:r>
      <w:r w:rsidR="00380469">
        <w:rPr>
          <w:sz w:val="24"/>
          <w:szCs w:val="24"/>
        </w:rPr>
        <w:t>i – 44,6 tūkst. eurų</w:t>
      </w:r>
      <w:r w:rsidR="00637BD5">
        <w:rPr>
          <w:sz w:val="24"/>
          <w:szCs w:val="24"/>
        </w:rPr>
        <w:t>,</w:t>
      </w:r>
      <w:r w:rsidR="00380469">
        <w:rPr>
          <w:sz w:val="24"/>
          <w:szCs w:val="24"/>
        </w:rPr>
        <w:t xml:space="preserve"> </w:t>
      </w:r>
      <w:r w:rsidR="00380469" w:rsidRPr="00380469">
        <w:rPr>
          <w:sz w:val="24"/>
          <w:szCs w:val="24"/>
        </w:rPr>
        <w:t>socialinių paslaugų srities darbuotojų minimaliesiems pareiginės algos pastoviosios dalies koeficientams didint</w:t>
      </w:r>
      <w:r w:rsidR="00380469">
        <w:rPr>
          <w:sz w:val="24"/>
          <w:szCs w:val="24"/>
        </w:rPr>
        <w:t>i – 81,6 tūkst. eurų</w:t>
      </w:r>
      <w:r w:rsidR="00637BD5">
        <w:rPr>
          <w:sz w:val="24"/>
          <w:szCs w:val="24"/>
        </w:rPr>
        <w:t>,</w:t>
      </w:r>
      <w:r w:rsidR="00380469">
        <w:rPr>
          <w:sz w:val="24"/>
          <w:szCs w:val="24"/>
        </w:rPr>
        <w:t xml:space="preserve"> </w:t>
      </w:r>
      <w:r w:rsidR="000B54B2" w:rsidRPr="000B54B2">
        <w:rPr>
          <w:sz w:val="24"/>
          <w:szCs w:val="24"/>
        </w:rPr>
        <w:t>socialinę riziką  patiriančių vaikų ikimokykliniam ugdymui užtikrint</w:t>
      </w:r>
      <w:r w:rsidR="000B54B2">
        <w:rPr>
          <w:sz w:val="24"/>
          <w:szCs w:val="24"/>
        </w:rPr>
        <w:t>i – 38,9 tūkst. eurų</w:t>
      </w:r>
      <w:r w:rsidR="00637BD5">
        <w:rPr>
          <w:sz w:val="24"/>
          <w:szCs w:val="24"/>
        </w:rPr>
        <w:t>,</w:t>
      </w:r>
      <w:r w:rsidR="00304074">
        <w:rPr>
          <w:sz w:val="24"/>
          <w:szCs w:val="24"/>
        </w:rPr>
        <w:t xml:space="preserve"> kompleksinėms paslaugoms šeimai organizuoti – 16,2 tūkst. eurų</w:t>
      </w:r>
      <w:r w:rsidR="009A3B62" w:rsidRPr="00D45BF2">
        <w:rPr>
          <w:sz w:val="24"/>
          <w:szCs w:val="24"/>
        </w:rPr>
        <w:t xml:space="preserve"> ir kt. </w:t>
      </w:r>
      <w:r w:rsidR="009828ED" w:rsidRPr="00D45BF2">
        <w:rPr>
          <w:sz w:val="24"/>
          <w:szCs w:val="24"/>
        </w:rPr>
        <w:t xml:space="preserve"> </w:t>
      </w:r>
    </w:p>
    <w:p w14:paraId="2CC8D4B9" w14:textId="5BAB2318" w:rsidR="009C543E" w:rsidRPr="00D45BF2" w:rsidRDefault="009C543E" w:rsidP="009C543E">
      <w:pPr>
        <w:spacing w:line="360" w:lineRule="auto"/>
        <w:ind w:firstLine="992"/>
        <w:jc w:val="right"/>
        <w:rPr>
          <w:sz w:val="24"/>
          <w:szCs w:val="24"/>
        </w:rPr>
      </w:pPr>
      <w:r w:rsidRPr="00D45BF2">
        <w:rPr>
          <w:sz w:val="24"/>
          <w:szCs w:val="24"/>
        </w:rPr>
        <w:t>2 lentelė</w:t>
      </w:r>
    </w:p>
    <w:p w14:paraId="1AD9C8DC" w14:textId="44FBFF60" w:rsidR="009C543E" w:rsidRDefault="00A4791C" w:rsidP="009C543E">
      <w:pPr>
        <w:ind w:firstLine="992"/>
        <w:jc w:val="center"/>
        <w:rPr>
          <w:b/>
          <w:sz w:val="24"/>
          <w:szCs w:val="24"/>
        </w:rPr>
      </w:pPr>
      <w:r>
        <w:rPr>
          <w:b/>
          <w:sz w:val="24"/>
          <w:szCs w:val="24"/>
        </w:rPr>
        <w:t>S</w:t>
      </w:r>
      <w:r w:rsidR="009C543E" w:rsidRPr="00E864BF">
        <w:rPr>
          <w:b/>
          <w:sz w:val="24"/>
          <w:szCs w:val="24"/>
        </w:rPr>
        <w:t xml:space="preserve">avivaldybei skiriamos valstybės biudžeto specialiosios tikslinės dotacijos </w:t>
      </w:r>
      <w:r w:rsidR="002B5E03">
        <w:rPr>
          <w:b/>
          <w:sz w:val="24"/>
          <w:szCs w:val="24"/>
        </w:rPr>
        <w:t>ir jų pokytis</w:t>
      </w:r>
    </w:p>
    <w:tbl>
      <w:tblPr>
        <w:tblW w:w="5000" w:type="pct"/>
        <w:tblLook w:val="04A0" w:firstRow="1" w:lastRow="0" w:firstColumn="1" w:lastColumn="0" w:noHBand="0" w:noVBand="1"/>
      </w:tblPr>
      <w:tblGrid>
        <w:gridCol w:w="5966"/>
        <w:gridCol w:w="1322"/>
        <w:gridCol w:w="1324"/>
        <w:gridCol w:w="1243"/>
      </w:tblGrid>
      <w:tr w:rsidR="00A61C07" w:rsidRPr="00A61C07" w14:paraId="1B0330BF" w14:textId="77777777" w:rsidTr="00084E5E">
        <w:trPr>
          <w:trHeight w:val="660"/>
        </w:trPr>
        <w:tc>
          <w:tcPr>
            <w:tcW w:w="3038" w:type="pct"/>
            <w:tcBorders>
              <w:top w:val="single" w:sz="4" w:space="0" w:color="auto"/>
              <w:left w:val="single" w:sz="4" w:space="0" w:color="auto"/>
              <w:bottom w:val="single" w:sz="4" w:space="0" w:color="auto"/>
              <w:right w:val="single" w:sz="4" w:space="0" w:color="auto"/>
            </w:tcBorders>
            <w:shd w:val="clear" w:color="auto" w:fill="FFFF99"/>
            <w:noWrap/>
            <w:vAlign w:val="center"/>
            <w:hideMark/>
          </w:tcPr>
          <w:p w14:paraId="16167C7E" w14:textId="77777777" w:rsidR="00A61C07" w:rsidRPr="00A61C07" w:rsidRDefault="00A61C07" w:rsidP="00A61C07">
            <w:pPr>
              <w:ind w:firstLine="0"/>
              <w:jc w:val="center"/>
              <w:rPr>
                <w:sz w:val="22"/>
                <w:szCs w:val="22"/>
                <w:lang w:eastAsia="lt-LT"/>
              </w:rPr>
            </w:pPr>
            <w:r w:rsidRPr="00A61C07">
              <w:rPr>
                <w:sz w:val="22"/>
                <w:szCs w:val="22"/>
                <w:lang w:eastAsia="lt-LT"/>
              </w:rPr>
              <w:t>Pajamų pavadinimas</w:t>
            </w:r>
          </w:p>
        </w:tc>
        <w:tc>
          <w:tcPr>
            <w:tcW w:w="682" w:type="pct"/>
            <w:tcBorders>
              <w:top w:val="single" w:sz="4" w:space="0" w:color="auto"/>
              <w:left w:val="nil"/>
              <w:bottom w:val="single" w:sz="4" w:space="0" w:color="auto"/>
              <w:right w:val="single" w:sz="4" w:space="0" w:color="auto"/>
            </w:tcBorders>
            <w:shd w:val="clear" w:color="auto" w:fill="FFFF99"/>
            <w:vAlign w:val="center"/>
            <w:hideMark/>
          </w:tcPr>
          <w:p w14:paraId="77B2ACB6" w14:textId="77777777" w:rsidR="00A61C07" w:rsidRPr="00A61C07" w:rsidRDefault="00A61C07" w:rsidP="00A61C07">
            <w:pPr>
              <w:ind w:firstLine="0"/>
              <w:jc w:val="center"/>
              <w:rPr>
                <w:sz w:val="22"/>
                <w:szCs w:val="22"/>
                <w:lang w:eastAsia="lt-LT"/>
              </w:rPr>
            </w:pPr>
            <w:r w:rsidRPr="00A61C07">
              <w:rPr>
                <w:sz w:val="22"/>
                <w:szCs w:val="22"/>
                <w:lang w:eastAsia="lt-LT"/>
              </w:rPr>
              <w:t>Patvirtinta</w:t>
            </w:r>
            <w:r w:rsidRPr="00A61C07">
              <w:rPr>
                <w:sz w:val="22"/>
                <w:szCs w:val="22"/>
                <w:lang w:eastAsia="lt-LT"/>
              </w:rPr>
              <w:br/>
              <w:t>2022-02-23</w:t>
            </w:r>
          </w:p>
        </w:tc>
        <w:tc>
          <w:tcPr>
            <w:tcW w:w="683" w:type="pct"/>
            <w:tcBorders>
              <w:top w:val="single" w:sz="4" w:space="0" w:color="auto"/>
              <w:left w:val="nil"/>
              <w:bottom w:val="single" w:sz="4" w:space="0" w:color="auto"/>
              <w:right w:val="single" w:sz="4" w:space="0" w:color="auto"/>
            </w:tcBorders>
            <w:shd w:val="clear" w:color="auto" w:fill="FFFF99"/>
            <w:vAlign w:val="center"/>
            <w:hideMark/>
          </w:tcPr>
          <w:p w14:paraId="1C98B223" w14:textId="77777777" w:rsidR="00A61C07" w:rsidRPr="00A61C07" w:rsidRDefault="00A61C07" w:rsidP="00A61C07">
            <w:pPr>
              <w:ind w:firstLine="0"/>
              <w:jc w:val="center"/>
              <w:rPr>
                <w:sz w:val="22"/>
                <w:szCs w:val="22"/>
                <w:lang w:eastAsia="lt-LT"/>
              </w:rPr>
            </w:pPr>
            <w:r w:rsidRPr="00A61C07">
              <w:rPr>
                <w:sz w:val="22"/>
                <w:szCs w:val="22"/>
                <w:lang w:eastAsia="lt-LT"/>
              </w:rPr>
              <w:t>Pokytis + / -</w:t>
            </w:r>
          </w:p>
        </w:tc>
        <w:tc>
          <w:tcPr>
            <w:tcW w:w="597" w:type="pct"/>
            <w:tcBorders>
              <w:top w:val="single" w:sz="4" w:space="0" w:color="auto"/>
              <w:left w:val="nil"/>
              <w:bottom w:val="single" w:sz="4" w:space="0" w:color="auto"/>
              <w:right w:val="single" w:sz="4" w:space="0" w:color="auto"/>
            </w:tcBorders>
            <w:shd w:val="clear" w:color="auto" w:fill="FFFF99"/>
            <w:vAlign w:val="center"/>
            <w:hideMark/>
          </w:tcPr>
          <w:p w14:paraId="28F6B179" w14:textId="77777777" w:rsidR="00A61C07" w:rsidRPr="00A61C07" w:rsidRDefault="00A61C07" w:rsidP="00A61C07">
            <w:pPr>
              <w:ind w:firstLine="0"/>
              <w:jc w:val="center"/>
              <w:rPr>
                <w:sz w:val="22"/>
                <w:szCs w:val="22"/>
                <w:lang w:eastAsia="lt-LT"/>
              </w:rPr>
            </w:pPr>
            <w:r w:rsidRPr="00A61C07">
              <w:rPr>
                <w:sz w:val="22"/>
                <w:szCs w:val="22"/>
                <w:lang w:eastAsia="lt-LT"/>
              </w:rPr>
              <w:t>Projektas</w:t>
            </w:r>
            <w:r w:rsidRPr="00A61C07">
              <w:rPr>
                <w:sz w:val="22"/>
                <w:szCs w:val="22"/>
                <w:lang w:eastAsia="lt-LT"/>
              </w:rPr>
              <w:br/>
              <w:t>2023-02-02</w:t>
            </w:r>
          </w:p>
        </w:tc>
      </w:tr>
      <w:tr w:rsidR="00A61C07" w:rsidRPr="00A61C07" w14:paraId="474D24C4" w14:textId="77777777" w:rsidTr="00084E5E">
        <w:trPr>
          <w:trHeight w:val="630"/>
        </w:trPr>
        <w:tc>
          <w:tcPr>
            <w:tcW w:w="303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71D54B" w14:textId="77777777" w:rsidR="00A61C07" w:rsidRPr="00A61C07" w:rsidRDefault="00A61C07" w:rsidP="00A61C07">
            <w:pPr>
              <w:ind w:firstLine="0"/>
              <w:jc w:val="left"/>
              <w:rPr>
                <w:b/>
                <w:bCs/>
                <w:sz w:val="22"/>
                <w:szCs w:val="22"/>
                <w:lang w:eastAsia="lt-LT"/>
              </w:rPr>
            </w:pPr>
            <w:r w:rsidRPr="00A61C07">
              <w:rPr>
                <w:b/>
                <w:bCs/>
                <w:sz w:val="22"/>
                <w:szCs w:val="22"/>
                <w:lang w:eastAsia="lt-LT"/>
              </w:rPr>
              <w:t xml:space="preserve">Dotacijos iš kitų valdžios sektoriaus subjektų </w:t>
            </w:r>
          </w:p>
        </w:tc>
        <w:tc>
          <w:tcPr>
            <w:tcW w:w="682" w:type="pct"/>
            <w:tcBorders>
              <w:top w:val="single" w:sz="4" w:space="0" w:color="auto"/>
              <w:left w:val="nil"/>
              <w:bottom w:val="single" w:sz="4" w:space="0" w:color="auto"/>
              <w:right w:val="single" w:sz="4" w:space="0" w:color="auto"/>
            </w:tcBorders>
            <w:shd w:val="clear" w:color="auto" w:fill="auto"/>
            <w:noWrap/>
            <w:vAlign w:val="center"/>
            <w:hideMark/>
          </w:tcPr>
          <w:p w14:paraId="7E108A24" w14:textId="77777777" w:rsidR="00A61C07" w:rsidRPr="00A61C07" w:rsidRDefault="00A61C07" w:rsidP="00A61C07">
            <w:pPr>
              <w:ind w:firstLine="0"/>
              <w:jc w:val="center"/>
              <w:rPr>
                <w:b/>
                <w:bCs/>
                <w:sz w:val="22"/>
                <w:szCs w:val="22"/>
                <w:lang w:eastAsia="lt-LT"/>
              </w:rPr>
            </w:pPr>
            <w:r w:rsidRPr="00A61C07">
              <w:rPr>
                <w:b/>
                <w:bCs/>
                <w:sz w:val="22"/>
                <w:szCs w:val="22"/>
                <w:lang w:eastAsia="lt-LT"/>
              </w:rPr>
              <w:t>8942645</w:t>
            </w:r>
          </w:p>
        </w:tc>
        <w:tc>
          <w:tcPr>
            <w:tcW w:w="683" w:type="pct"/>
            <w:tcBorders>
              <w:top w:val="single" w:sz="4" w:space="0" w:color="auto"/>
              <w:left w:val="nil"/>
              <w:bottom w:val="single" w:sz="4" w:space="0" w:color="auto"/>
              <w:right w:val="single" w:sz="4" w:space="0" w:color="auto"/>
            </w:tcBorders>
            <w:shd w:val="clear" w:color="auto" w:fill="auto"/>
            <w:noWrap/>
            <w:vAlign w:val="center"/>
            <w:hideMark/>
          </w:tcPr>
          <w:p w14:paraId="5B90767F" w14:textId="77777777" w:rsidR="00A61C07" w:rsidRPr="00A61C07" w:rsidRDefault="00A61C07" w:rsidP="00A61C07">
            <w:pPr>
              <w:ind w:firstLine="0"/>
              <w:jc w:val="center"/>
              <w:rPr>
                <w:b/>
                <w:bCs/>
                <w:sz w:val="22"/>
                <w:szCs w:val="22"/>
                <w:lang w:eastAsia="lt-LT"/>
              </w:rPr>
            </w:pPr>
            <w:r w:rsidRPr="00A61C07">
              <w:rPr>
                <w:b/>
                <w:bCs/>
                <w:sz w:val="22"/>
                <w:szCs w:val="22"/>
                <w:lang w:eastAsia="lt-LT"/>
              </w:rPr>
              <w:t>201373</w:t>
            </w:r>
          </w:p>
        </w:tc>
        <w:tc>
          <w:tcPr>
            <w:tcW w:w="597" w:type="pct"/>
            <w:tcBorders>
              <w:top w:val="single" w:sz="4" w:space="0" w:color="auto"/>
              <w:left w:val="nil"/>
              <w:bottom w:val="single" w:sz="4" w:space="0" w:color="auto"/>
              <w:right w:val="single" w:sz="4" w:space="0" w:color="auto"/>
            </w:tcBorders>
            <w:shd w:val="clear" w:color="auto" w:fill="auto"/>
            <w:noWrap/>
            <w:vAlign w:val="center"/>
            <w:hideMark/>
          </w:tcPr>
          <w:p w14:paraId="501EC3DF" w14:textId="77777777" w:rsidR="00A61C07" w:rsidRPr="00A61C07" w:rsidRDefault="00A61C07" w:rsidP="00A61C07">
            <w:pPr>
              <w:ind w:firstLine="0"/>
              <w:jc w:val="center"/>
              <w:rPr>
                <w:b/>
                <w:bCs/>
                <w:sz w:val="22"/>
                <w:szCs w:val="22"/>
                <w:lang w:eastAsia="lt-LT"/>
              </w:rPr>
            </w:pPr>
            <w:r w:rsidRPr="00A61C07">
              <w:rPr>
                <w:b/>
                <w:bCs/>
                <w:sz w:val="22"/>
                <w:szCs w:val="22"/>
                <w:lang w:eastAsia="lt-LT"/>
              </w:rPr>
              <w:t>9144018</w:t>
            </w:r>
          </w:p>
        </w:tc>
      </w:tr>
      <w:tr w:rsidR="00A61C07" w:rsidRPr="00A61C07" w14:paraId="6FE7EFB0" w14:textId="77777777" w:rsidTr="00084E5E">
        <w:trPr>
          <w:trHeight w:val="46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5885C79" w14:textId="77777777" w:rsidR="00A61C07" w:rsidRPr="00A61C07" w:rsidRDefault="00A61C07" w:rsidP="00A61C07">
            <w:pPr>
              <w:ind w:firstLine="0"/>
              <w:jc w:val="left"/>
              <w:rPr>
                <w:sz w:val="22"/>
                <w:szCs w:val="22"/>
                <w:lang w:eastAsia="lt-LT"/>
              </w:rPr>
            </w:pPr>
            <w:r w:rsidRPr="00A61C07">
              <w:rPr>
                <w:sz w:val="22"/>
                <w:szCs w:val="22"/>
                <w:lang w:eastAsia="lt-LT"/>
              </w:rPr>
              <w:t>Socialinėms išmokoms ir kompensacijoms skaičiuoti ir mokėti</w:t>
            </w:r>
          </w:p>
        </w:tc>
        <w:tc>
          <w:tcPr>
            <w:tcW w:w="682" w:type="pct"/>
            <w:tcBorders>
              <w:top w:val="nil"/>
              <w:left w:val="nil"/>
              <w:bottom w:val="single" w:sz="4" w:space="0" w:color="auto"/>
              <w:right w:val="single" w:sz="4" w:space="0" w:color="auto"/>
            </w:tcBorders>
            <w:shd w:val="clear" w:color="auto" w:fill="auto"/>
            <w:noWrap/>
            <w:vAlign w:val="center"/>
            <w:hideMark/>
          </w:tcPr>
          <w:p w14:paraId="0B509608" w14:textId="77777777" w:rsidR="00A61C07" w:rsidRPr="00A61C07" w:rsidRDefault="00A61C07" w:rsidP="00A61C07">
            <w:pPr>
              <w:ind w:firstLine="0"/>
              <w:jc w:val="center"/>
              <w:rPr>
                <w:sz w:val="22"/>
                <w:szCs w:val="22"/>
                <w:lang w:eastAsia="lt-LT"/>
              </w:rPr>
            </w:pPr>
            <w:r w:rsidRPr="00A61C07">
              <w:rPr>
                <w:sz w:val="22"/>
                <w:szCs w:val="22"/>
                <w:lang w:eastAsia="lt-LT"/>
              </w:rPr>
              <w:t>136500</w:t>
            </w:r>
          </w:p>
        </w:tc>
        <w:tc>
          <w:tcPr>
            <w:tcW w:w="683" w:type="pct"/>
            <w:tcBorders>
              <w:top w:val="nil"/>
              <w:left w:val="nil"/>
              <w:bottom w:val="single" w:sz="4" w:space="0" w:color="auto"/>
              <w:right w:val="single" w:sz="4" w:space="0" w:color="auto"/>
            </w:tcBorders>
            <w:shd w:val="clear" w:color="auto" w:fill="auto"/>
            <w:noWrap/>
            <w:vAlign w:val="center"/>
            <w:hideMark/>
          </w:tcPr>
          <w:p w14:paraId="2D985EFD" w14:textId="77777777" w:rsidR="00A61C07" w:rsidRPr="00A61C07" w:rsidRDefault="00A61C07" w:rsidP="00A61C07">
            <w:pPr>
              <w:ind w:firstLine="0"/>
              <w:jc w:val="center"/>
              <w:rPr>
                <w:sz w:val="22"/>
                <w:szCs w:val="22"/>
                <w:lang w:eastAsia="lt-LT"/>
              </w:rPr>
            </w:pPr>
            <w:r w:rsidRPr="00A61C07">
              <w:rPr>
                <w:sz w:val="22"/>
                <w:szCs w:val="22"/>
                <w:lang w:eastAsia="lt-LT"/>
              </w:rPr>
              <w:t>6100</w:t>
            </w:r>
          </w:p>
        </w:tc>
        <w:tc>
          <w:tcPr>
            <w:tcW w:w="597" w:type="pct"/>
            <w:tcBorders>
              <w:top w:val="nil"/>
              <w:left w:val="nil"/>
              <w:bottom w:val="single" w:sz="4" w:space="0" w:color="auto"/>
              <w:right w:val="single" w:sz="4" w:space="0" w:color="auto"/>
            </w:tcBorders>
            <w:shd w:val="clear" w:color="auto" w:fill="auto"/>
            <w:noWrap/>
            <w:vAlign w:val="center"/>
            <w:hideMark/>
          </w:tcPr>
          <w:p w14:paraId="4980DE96" w14:textId="77777777" w:rsidR="00A61C07" w:rsidRPr="00A61C07" w:rsidRDefault="00A61C07" w:rsidP="00A61C07">
            <w:pPr>
              <w:ind w:firstLine="0"/>
              <w:jc w:val="center"/>
              <w:rPr>
                <w:sz w:val="22"/>
                <w:szCs w:val="22"/>
                <w:lang w:eastAsia="lt-LT"/>
              </w:rPr>
            </w:pPr>
            <w:r w:rsidRPr="00A61C07">
              <w:rPr>
                <w:sz w:val="22"/>
                <w:szCs w:val="22"/>
                <w:lang w:eastAsia="lt-LT"/>
              </w:rPr>
              <w:t>142600</w:t>
            </w:r>
          </w:p>
        </w:tc>
      </w:tr>
      <w:tr w:rsidR="00A61C07" w:rsidRPr="00A61C07" w14:paraId="650204FB" w14:textId="77777777" w:rsidTr="00084E5E">
        <w:trPr>
          <w:trHeight w:val="46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2FE332EB" w14:textId="77777777" w:rsidR="00A61C07" w:rsidRPr="00A61C07" w:rsidRDefault="00A61C07" w:rsidP="00A61C07">
            <w:pPr>
              <w:ind w:firstLine="0"/>
              <w:jc w:val="left"/>
              <w:rPr>
                <w:sz w:val="22"/>
                <w:szCs w:val="22"/>
                <w:lang w:eastAsia="lt-LT"/>
              </w:rPr>
            </w:pPr>
            <w:r w:rsidRPr="00A61C07">
              <w:rPr>
                <w:sz w:val="22"/>
                <w:szCs w:val="22"/>
                <w:lang w:eastAsia="lt-LT"/>
              </w:rPr>
              <w:t>Socialinei paramai mokiniams</w:t>
            </w:r>
          </w:p>
        </w:tc>
        <w:tc>
          <w:tcPr>
            <w:tcW w:w="682" w:type="pct"/>
            <w:tcBorders>
              <w:top w:val="nil"/>
              <w:left w:val="nil"/>
              <w:bottom w:val="single" w:sz="4" w:space="0" w:color="auto"/>
              <w:right w:val="single" w:sz="4" w:space="0" w:color="auto"/>
            </w:tcBorders>
            <w:shd w:val="clear" w:color="auto" w:fill="auto"/>
            <w:noWrap/>
            <w:vAlign w:val="center"/>
            <w:hideMark/>
          </w:tcPr>
          <w:p w14:paraId="3A251E23" w14:textId="77777777" w:rsidR="00A61C07" w:rsidRPr="00A61C07" w:rsidRDefault="00A61C07" w:rsidP="00A61C07">
            <w:pPr>
              <w:ind w:firstLine="0"/>
              <w:jc w:val="center"/>
              <w:rPr>
                <w:sz w:val="22"/>
                <w:szCs w:val="22"/>
                <w:lang w:eastAsia="lt-LT"/>
              </w:rPr>
            </w:pPr>
            <w:r w:rsidRPr="00A61C07">
              <w:rPr>
                <w:sz w:val="22"/>
                <w:szCs w:val="22"/>
                <w:lang w:eastAsia="lt-LT"/>
              </w:rPr>
              <w:t>206400</w:t>
            </w:r>
          </w:p>
        </w:tc>
        <w:tc>
          <w:tcPr>
            <w:tcW w:w="683" w:type="pct"/>
            <w:tcBorders>
              <w:top w:val="nil"/>
              <w:left w:val="nil"/>
              <w:bottom w:val="single" w:sz="4" w:space="0" w:color="auto"/>
              <w:right w:val="single" w:sz="4" w:space="0" w:color="auto"/>
            </w:tcBorders>
            <w:shd w:val="clear" w:color="auto" w:fill="auto"/>
            <w:noWrap/>
            <w:vAlign w:val="center"/>
            <w:hideMark/>
          </w:tcPr>
          <w:p w14:paraId="3D020A78" w14:textId="77777777" w:rsidR="00A61C07" w:rsidRPr="00A61C07" w:rsidRDefault="00A61C07" w:rsidP="00A61C07">
            <w:pPr>
              <w:ind w:firstLine="0"/>
              <w:jc w:val="center"/>
              <w:rPr>
                <w:sz w:val="22"/>
                <w:szCs w:val="22"/>
                <w:lang w:eastAsia="lt-LT"/>
              </w:rPr>
            </w:pPr>
            <w:r w:rsidRPr="00A61C07">
              <w:rPr>
                <w:sz w:val="22"/>
                <w:szCs w:val="22"/>
                <w:lang w:eastAsia="lt-LT"/>
              </w:rPr>
              <w:t>13200</w:t>
            </w:r>
          </w:p>
        </w:tc>
        <w:tc>
          <w:tcPr>
            <w:tcW w:w="597" w:type="pct"/>
            <w:tcBorders>
              <w:top w:val="nil"/>
              <w:left w:val="nil"/>
              <w:bottom w:val="single" w:sz="4" w:space="0" w:color="auto"/>
              <w:right w:val="single" w:sz="4" w:space="0" w:color="auto"/>
            </w:tcBorders>
            <w:shd w:val="clear" w:color="auto" w:fill="auto"/>
            <w:noWrap/>
            <w:vAlign w:val="center"/>
            <w:hideMark/>
          </w:tcPr>
          <w:p w14:paraId="12586AB3" w14:textId="77777777" w:rsidR="00A61C07" w:rsidRPr="00A61C07" w:rsidRDefault="00A61C07" w:rsidP="00A61C07">
            <w:pPr>
              <w:ind w:firstLine="0"/>
              <w:jc w:val="center"/>
              <w:rPr>
                <w:sz w:val="22"/>
                <w:szCs w:val="22"/>
                <w:lang w:eastAsia="lt-LT"/>
              </w:rPr>
            </w:pPr>
            <w:r w:rsidRPr="00A61C07">
              <w:rPr>
                <w:sz w:val="22"/>
                <w:szCs w:val="22"/>
                <w:lang w:eastAsia="lt-LT"/>
              </w:rPr>
              <w:t>219600</w:t>
            </w:r>
          </w:p>
        </w:tc>
      </w:tr>
      <w:tr w:rsidR="00A61C07" w:rsidRPr="00A61C07" w14:paraId="1C6447D5" w14:textId="77777777" w:rsidTr="00084E5E">
        <w:trPr>
          <w:trHeight w:val="46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985F49E" w14:textId="77777777" w:rsidR="00A61C07" w:rsidRPr="00A61C07" w:rsidRDefault="00A61C07" w:rsidP="00A61C07">
            <w:pPr>
              <w:ind w:firstLine="0"/>
              <w:jc w:val="left"/>
              <w:rPr>
                <w:sz w:val="22"/>
                <w:szCs w:val="22"/>
                <w:lang w:eastAsia="lt-LT"/>
              </w:rPr>
            </w:pPr>
            <w:r w:rsidRPr="00A61C07">
              <w:rPr>
                <w:sz w:val="22"/>
                <w:szCs w:val="22"/>
                <w:lang w:eastAsia="lt-LT"/>
              </w:rPr>
              <w:t>Socialinėms paslaugoms</w:t>
            </w:r>
          </w:p>
        </w:tc>
        <w:tc>
          <w:tcPr>
            <w:tcW w:w="682" w:type="pct"/>
            <w:tcBorders>
              <w:top w:val="nil"/>
              <w:left w:val="nil"/>
              <w:bottom w:val="single" w:sz="4" w:space="0" w:color="auto"/>
              <w:right w:val="single" w:sz="4" w:space="0" w:color="auto"/>
            </w:tcBorders>
            <w:shd w:val="clear" w:color="auto" w:fill="auto"/>
            <w:noWrap/>
            <w:vAlign w:val="center"/>
            <w:hideMark/>
          </w:tcPr>
          <w:p w14:paraId="4306064C" w14:textId="77777777" w:rsidR="00A61C07" w:rsidRPr="00A61C07" w:rsidRDefault="00A61C07" w:rsidP="00A61C07">
            <w:pPr>
              <w:ind w:firstLine="0"/>
              <w:jc w:val="center"/>
              <w:rPr>
                <w:sz w:val="22"/>
                <w:szCs w:val="22"/>
                <w:lang w:eastAsia="lt-LT"/>
              </w:rPr>
            </w:pPr>
            <w:r w:rsidRPr="00A61C07">
              <w:rPr>
                <w:sz w:val="22"/>
                <w:szCs w:val="22"/>
                <w:lang w:eastAsia="lt-LT"/>
              </w:rPr>
              <w:t>887400</w:t>
            </w:r>
          </w:p>
        </w:tc>
        <w:tc>
          <w:tcPr>
            <w:tcW w:w="683" w:type="pct"/>
            <w:tcBorders>
              <w:top w:val="nil"/>
              <w:left w:val="nil"/>
              <w:bottom w:val="single" w:sz="4" w:space="0" w:color="auto"/>
              <w:right w:val="single" w:sz="4" w:space="0" w:color="auto"/>
            </w:tcBorders>
            <w:shd w:val="clear" w:color="auto" w:fill="auto"/>
            <w:noWrap/>
            <w:vAlign w:val="center"/>
            <w:hideMark/>
          </w:tcPr>
          <w:p w14:paraId="592C7497" w14:textId="77777777" w:rsidR="00A61C07" w:rsidRPr="00A61C07" w:rsidRDefault="00A61C07" w:rsidP="00A61C07">
            <w:pPr>
              <w:ind w:firstLine="0"/>
              <w:jc w:val="center"/>
              <w:rPr>
                <w:sz w:val="22"/>
                <w:szCs w:val="22"/>
                <w:lang w:eastAsia="lt-LT"/>
              </w:rPr>
            </w:pPr>
            <w:r w:rsidRPr="00A61C07">
              <w:rPr>
                <w:sz w:val="22"/>
                <w:szCs w:val="22"/>
                <w:lang w:eastAsia="lt-LT"/>
              </w:rPr>
              <w:t>7900</w:t>
            </w:r>
          </w:p>
        </w:tc>
        <w:tc>
          <w:tcPr>
            <w:tcW w:w="597" w:type="pct"/>
            <w:tcBorders>
              <w:top w:val="nil"/>
              <w:left w:val="nil"/>
              <w:bottom w:val="single" w:sz="4" w:space="0" w:color="auto"/>
              <w:right w:val="single" w:sz="4" w:space="0" w:color="auto"/>
            </w:tcBorders>
            <w:shd w:val="clear" w:color="auto" w:fill="auto"/>
            <w:noWrap/>
            <w:vAlign w:val="center"/>
            <w:hideMark/>
          </w:tcPr>
          <w:p w14:paraId="19819CAD" w14:textId="77777777" w:rsidR="00A61C07" w:rsidRPr="00A61C07" w:rsidRDefault="00A61C07" w:rsidP="00A61C07">
            <w:pPr>
              <w:ind w:firstLine="0"/>
              <w:jc w:val="center"/>
              <w:rPr>
                <w:sz w:val="22"/>
                <w:szCs w:val="22"/>
                <w:lang w:eastAsia="lt-LT"/>
              </w:rPr>
            </w:pPr>
            <w:r w:rsidRPr="00A61C07">
              <w:rPr>
                <w:sz w:val="22"/>
                <w:szCs w:val="22"/>
                <w:lang w:eastAsia="lt-LT"/>
              </w:rPr>
              <w:t>895300</w:t>
            </w:r>
          </w:p>
        </w:tc>
      </w:tr>
      <w:tr w:rsidR="00A61C07" w:rsidRPr="00A61C07" w14:paraId="49B5E375" w14:textId="77777777" w:rsidTr="00084E5E">
        <w:trPr>
          <w:trHeight w:val="46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4E246595" w14:textId="77777777" w:rsidR="00A61C07" w:rsidRPr="00A61C07" w:rsidRDefault="00A61C07" w:rsidP="00A61C07">
            <w:pPr>
              <w:ind w:firstLine="0"/>
              <w:jc w:val="left"/>
              <w:rPr>
                <w:sz w:val="22"/>
                <w:szCs w:val="22"/>
                <w:lang w:eastAsia="lt-LT"/>
              </w:rPr>
            </w:pPr>
            <w:r w:rsidRPr="00A61C07">
              <w:rPr>
                <w:sz w:val="22"/>
                <w:szCs w:val="22"/>
                <w:lang w:eastAsia="lt-LT"/>
              </w:rPr>
              <w:t>Jaunimo teisių apsaugai</w:t>
            </w:r>
          </w:p>
        </w:tc>
        <w:tc>
          <w:tcPr>
            <w:tcW w:w="682" w:type="pct"/>
            <w:tcBorders>
              <w:top w:val="nil"/>
              <w:left w:val="nil"/>
              <w:bottom w:val="single" w:sz="4" w:space="0" w:color="auto"/>
              <w:right w:val="single" w:sz="4" w:space="0" w:color="auto"/>
            </w:tcBorders>
            <w:shd w:val="clear" w:color="auto" w:fill="auto"/>
            <w:noWrap/>
            <w:vAlign w:val="center"/>
            <w:hideMark/>
          </w:tcPr>
          <w:p w14:paraId="6559EF9A" w14:textId="77777777" w:rsidR="00A61C07" w:rsidRPr="00A61C07" w:rsidRDefault="00A61C07" w:rsidP="00A61C07">
            <w:pPr>
              <w:ind w:firstLine="0"/>
              <w:jc w:val="center"/>
              <w:rPr>
                <w:sz w:val="22"/>
                <w:szCs w:val="22"/>
                <w:lang w:eastAsia="lt-LT"/>
              </w:rPr>
            </w:pPr>
            <w:r w:rsidRPr="00A61C07">
              <w:rPr>
                <w:sz w:val="22"/>
                <w:szCs w:val="22"/>
                <w:lang w:eastAsia="lt-LT"/>
              </w:rPr>
              <w:t>16900</w:t>
            </w:r>
          </w:p>
        </w:tc>
        <w:tc>
          <w:tcPr>
            <w:tcW w:w="683" w:type="pct"/>
            <w:tcBorders>
              <w:top w:val="nil"/>
              <w:left w:val="nil"/>
              <w:bottom w:val="single" w:sz="4" w:space="0" w:color="auto"/>
              <w:right w:val="single" w:sz="4" w:space="0" w:color="auto"/>
            </w:tcBorders>
            <w:shd w:val="clear" w:color="auto" w:fill="auto"/>
            <w:noWrap/>
            <w:vAlign w:val="center"/>
            <w:hideMark/>
          </w:tcPr>
          <w:p w14:paraId="4649C50E" w14:textId="77777777" w:rsidR="00A61C07" w:rsidRPr="00A61C07" w:rsidRDefault="00A61C07" w:rsidP="00A61C07">
            <w:pPr>
              <w:ind w:firstLine="0"/>
              <w:jc w:val="center"/>
              <w:rPr>
                <w:sz w:val="22"/>
                <w:szCs w:val="22"/>
                <w:lang w:eastAsia="lt-LT"/>
              </w:rPr>
            </w:pPr>
            <w:r w:rsidRPr="00A61C07">
              <w:rPr>
                <w:sz w:val="22"/>
                <w:szCs w:val="22"/>
                <w:lang w:eastAsia="lt-LT"/>
              </w:rPr>
              <w:t>-500</w:t>
            </w:r>
          </w:p>
        </w:tc>
        <w:tc>
          <w:tcPr>
            <w:tcW w:w="597" w:type="pct"/>
            <w:tcBorders>
              <w:top w:val="nil"/>
              <w:left w:val="nil"/>
              <w:bottom w:val="single" w:sz="4" w:space="0" w:color="auto"/>
              <w:right w:val="single" w:sz="4" w:space="0" w:color="auto"/>
            </w:tcBorders>
            <w:shd w:val="clear" w:color="auto" w:fill="auto"/>
            <w:noWrap/>
            <w:vAlign w:val="center"/>
            <w:hideMark/>
          </w:tcPr>
          <w:p w14:paraId="17198953" w14:textId="77777777" w:rsidR="00A61C07" w:rsidRPr="00A61C07" w:rsidRDefault="00A61C07" w:rsidP="00A61C07">
            <w:pPr>
              <w:ind w:firstLine="0"/>
              <w:jc w:val="center"/>
              <w:rPr>
                <w:sz w:val="22"/>
                <w:szCs w:val="22"/>
                <w:lang w:eastAsia="lt-LT"/>
              </w:rPr>
            </w:pPr>
            <w:r w:rsidRPr="00A61C07">
              <w:rPr>
                <w:sz w:val="22"/>
                <w:szCs w:val="22"/>
                <w:lang w:eastAsia="lt-LT"/>
              </w:rPr>
              <w:t>16400</w:t>
            </w:r>
          </w:p>
        </w:tc>
      </w:tr>
      <w:tr w:rsidR="00A61C07" w:rsidRPr="00A61C07" w14:paraId="2C7B6562" w14:textId="77777777" w:rsidTr="00084E5E">
        <w:trPr>
          <w:trHeight w:val="63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61E3E315" w14:textId="77777777" w:rsidR="00A61C07" w:rsidRPr="00A61C07" w:rsidRDefault="00A61C07" w:rsidP="00A61C07">
            <w:pPr>
              <w:ind w:firstLine="0"/>
              <w:jc w:val="left"/>
              <w:rPr>
                <w:sz w:val="22"/>
                <w:szCs w:val="22"/>
                <w:lang w:eastAsia="lt-LT"/>
              </w:rPr>
            </w:pPr>
            <w:r w:rsidRPr="00A61C07">
              <w:rPr>
                <w:sz w:val="22"/>
                <w:szCs w:val="22"/>
                <w:lang w:eastAsia="lt-LT"/>
              </w:rPr>
              <w:t>Savivaldybės patvirtintai užimtumo didinimo programai įgyvendinti</w:t>
            </w:r>
          </w:p>
        </w:tc>
        <w:tc>
          <w:tcPr>
            <w:tcW w:w="682" w:type="pct"/>
            <w:tcBorders>
              <w:top w:val="nil"/>
              <w:left w:val="nil"/>
              <w:bottom w:val="single" w:sz="4" w:space="0" w:color="auto"/>
              <w:right w:val="single" w:sz="4" w:space="0" w:color="auto"/>
            </w:tcBorders>
            <w:shd w:val="clear" w:color="auto" w:fill="auto"/>
            <w:noWrap/>
            <w:vAlign w:val="center"/>
            <w:hideMark/>
          </w:tcPr>
          <w:p w14:paraId="7E8B85D3" w14:textId="77777777" w:rsidR="00A61C07" w:rsidRPr="00A61C07" w:rsidRDefault="00A61C07" w:rsidP="00A61C07">
            <w:pPr>
              <w:ind w:firstLine="0"/>
              <w:jc w:val="center"/>
              <w:rPr>
                <w:sz w:val="22"/>
                <w:szCs w:val="22"/>
                <w:lang w:eastAsia="lt-LT"/>
              </w:rPr>
            </w:pPr>
            <w:r w:rsidRPr="00A61C07">
              <w:rPr>
                <w:sz w:val="22"/>
                <w:szCs w:val="22"/>
                <w:lang w:eastAsia="lt-LT"/>
              </w:rPr>
              <w:t>142300</w:t>
            </w:r>
          </w:p>
        </w:tc>
        <w:tc>
          <w:tcPr>
            <w:tcW w:w="683" w:type="pct"/>
            <w:tcBorders>
              <w:top w:val="nil"/>
              <w:left w:val="nil"/>
              <w:bottom w:val="single" w:sz="4" w:space="0" w:color="auto"/>
              <w:right w:val="single" w:sz="4" w:space="0" w:color="auto"/>
            </w:tcBorders>
            <w:shd w:val="clear" w:color="auto" w:fill="auto"/>
            <w:noWrap/>
            <w:vAlign w:val="center"/>
            <w:hideMark/>
          </w:tcPr>
          <w:p w14:paraId="4999F0C1" w14:textId="77777777" w:rsidR="00A61C07" w:rsidRPr="00A61C07" w:rsidRDefault="00A61C07" w:rsidP="00A61C07">
            <w:pPr>
              <w:ind w:firstLine="0"/>
              <w:jc w:val="center"/>
              <w:rPr>
                <w:sz w:val="22"/>
                <w:szCs w:val="22"/>
                <w:lang w:eastAsia="lt-LT"/>
              </w:rPr>
            </w:pPr>
            <w:r w:rsidRPr="00A61C07">
              <w:rPr>
                <w:sz w:val="22"/>
                <w:szCs w:val="22"/>
                <w:lang w:eastAsia="lt-LT"/>
              </w:rPr>
              <w:t>-82100</w:t>
            </w:r>
          </w:p>
        </w:tc>
        <w:tc>
          <w:tcPr>
            <w:tcW w:w="597" w:type="pct"/>
            <w:tcBorders>
              <w:top w:val="nil"/>
              <w:left w:val="nil"/>
              <w:bottom w:val="single" w:sz="4" w:space="0" w:color="auto"/>
              <w:right w:val="single" w:sz="4" w:space="0" w:color="auto"/>
            </w:tcBorders>
            <w:shd w:val="clear" w:color="auto" w:fill="auto"/>
            <w:noWrap/>
            <w:vAlign w:val="center"/>
            <w:hideMark/>
          </w:tcPr>
          <w:p w14:paraId="31B5F4C1" w14:textId="77777777" w:rsidR="00A61C07" w:rsidRPr="00A61C07" w:rsidRDefault="00A61C07" w:rsidP="00A61C07">
            <w:pPr>
              <w:ind w:firstLine="0"/>
              <w:jc w:val="center"/>
              <w:rPr>
                <w:sz w:val="22"/>
                <w:szCs w:val="22"/>
                <w:lang w:eastAsia="lt-LT"/>
              </w:rPr>
            </w:pPr>
            <w:r w:rsidRPr="00A61C07">
              <w:rPr>
                <w:sz w:val="22"/>
                <w:szCs w:val="22"/>
                <w:lang w:eastAsia="lt-LT"/>
              </w:rPr>
              <w:t>60200</w:t>
            </w:r>
          </w:p>
        </w:tc>
      </w:tr>
      <w:tr w:rsidR="00C652B4" w:rsidRPr="00A61C07" w14:paraId="2C679F69" w14:textId="77777777" w:rsidTr="00084E5E">
        <w:trPr>
          <w:trHeight w:val="960"/>
        </w:trPr>
        <w:tc>
          <w:tcPr>
            <w:tcW w:w="3038" w:type="pct"/>
            <w:tcBorders>
              <w:top w:val="single" w:sz="4" w:space="0" w:color="auto"/>
              <w:left w:val="single" w:sz="4" w:space="0" w:color="auto"/>
              <w:bottom w:val="single" w:sz="4" w:space="0" w:color="auto"/>
              <w:right w:val="single" w:sz="4" w:space="0" w:color="auto"/>
            </w:tcBorders>
            <w:shd w:val="clear" w:color="auto" w:fill="FFFF99"/>
            <w:vAlign w:val="center"/>
          </w:tcPr>
          <w:p w14:paraId="53E9AEFB" w14:textId="34262380" w:rsidR="00C652B4" w:rsidRPr="00084E5E" w:rsidRDefault="00C652B4" w:rsidP="00084E5E">
            <w:pPr>
              <w:ind w:firstLine="0"/>
              <w:jc w:val="center"/>
              <w:rPr>
                <w:sz w:val="22"/>
                <w:szCs w:val="22"/>
                <w:lang w:eastAsia="lt-LT"/>
              </w:rPr>
            </w:pPr>
            <w:r w:rsidRPr="00A61C07">
              <w:rPr>
                <w:sz w:val="22"/>
                <w:szCs w:val="22"/>
                <w:lang w:eastAsia="lt-LT"/>
              </w:rPr>
              <w:lastRenderedPageBreak/>
              <w:t>Pajamų pavadinimas</w:t>
            </w:r>
          </w:p>
        </w:tc>
        <w:tc>
          <w:tcPr>
            <w:tcW w:w="682" w:type="pct"/>
            <w:tcBorders>
              <w:top w:val="single" w:sz="4" w:space="0" w:color="auto"/>
              <w:left w:val="nil"/>
              <w:bottom w:val="single" w:sz="4" w:space="0" w:color="auto"/>
              <w:right w:val="single" w:sz="4" w:space="0" w:color="auto"/>
            </w:tcBorders>
            <w:shd w:val="clear" w:color="auto" w:fill="FFFF99"/>
            <w:noWrap/>
            <w:vAlign w:val="center"/>
          </w:tcPr>
          <w:p w14:paraId="46EABFC1" w14:textId="362CAACF" w:rsidR="00C652B4" w:rsidRPr="00084E5E" w:rsidRDefault="00C652B4" w:rsidP="00C652B4">
            <w:pPr>
              <w:ind w:firstLine="0"/>
              <w:jc w:val="center"/>
              <w:rPr>
                <w:sz w:val="22"/>
                <w:szCs w:val="22"/>
                <w:lang w:eastAsia="lt-LT"/>
              </w:rPr>
            </w:pPr>
            <w:r w:rsidRPr="00A61C07">
              <w:rPr>
                <w:sz w:val="22"/>
                <w:szCs w:val="22"/>
                <w:lang w:eastAsia="lt-LT"/>
              </w:rPr>
              <w:t>Patvirtinta</w:t>
            </w:r>
            <w:r w:rsidRPr="00A61C07">
              <w:rPr>
                <w:sz w:val="22"/>
                <w:szCs w:val="22"/>
                <w:lang w:eastAsia="lt-LT"/>
              </w:rPr>
              <w:br/>
              <w:t>2022-02-23</w:t>
            </w:r>
          </w:p>
        </w:tc>
        <w:tc>
          <w:tcPr>
            <w:tcW w:w="683" w:type="pct"/>
            <w:tcBorders>
              <w:top w:val="single" w:sz="4" w:space="0" w:color="auto"/>
              <w:left w:val="nil"/>
              <w:bottom w:val="single" w:sz="4" w:space="0" w:color="auto"/>
              <w:right w:val="single" w:sz="4" w:space="0" w:color="auto"/>
            </w:tcBorders>
            <w:shd w:val="clear" w:color="auto" w:fill="FFFF99"/>
            <w:noWrap/>
            <w:vAlign w:val="center"/>
          </w:tcPr>
          <w:p w14:paraId="36CB3085" w14:textId="6AA1A1B6" w:rsidR="00C652B4" w:rsidRPr="00084E5E" w:rsidRDefault="00C652B4" w:rsidP="00C652B4">
            <w:pPr>
              <w:ind w:firstLine="0"/>
              <w:jc w:val="center"/>
              <w:rPr>
                <w:sz w:val="22"/>
                <w:szCs w:val="22"/>
                <w:lang w:eastAsia="lt-LT"/>
              </w:rPr>
            </w:pPr>
            <w:r w:rsidRPr="00A61C07">
              <w:rPr>
                <w:sz w:val="22"/>
                <w:szCs w:val="22"/>
                <w:lang w:eastAsia="lt-LT"/>
              </w:rPr>
              <w:t>Pokytis + / -</w:t>
            </w:r>
          </w:p>
        </w:tc>
        <w:tc>
          <w:tcPr>
            <w:tcW w:w="597" w:type="pct"/>
            <w:tcBorders>
              <w:top w:val="single" w:sz="4" w:space="0" w:color="auto"/>
              <w:left w:val="nil"/>
              <w:bottom w:val="single" w:sz="4" w:space="0" w:color="auto"/>
              <w:right w:val="single" w:sz="4" w:space="0" w:color="auto"/>
            </w:tcBorders>
            <w:shd w:val="clear" w:color="auto" w:fill="FFFF99"/>
            <w:noWrap/>
            <w:vAlign w:val="center"/>
          </w:tcPr>
          <w:p w14:paraId="2C113D41" w14:textId="55C5AD24" w:rsidR="00C652B4" w:rsidRPr="00084E5E" w:rsidRDefault="00C652B4" w:rsidP="00C652B4">
            <w:pPr>
              <w:ind w:firstLine="0"/>
              <w:jc w:val="center"/>
              <w:rPr>
                <w:sz w:val="22"/>
                <w:szCs w:val="22"/>
                <w:lang w:eastAsia="lt-LT"/>
              </w:rPr>
            </w:pPr>
            <w:r w:rsidRPr="00A61C07">
              <w:rPr>
                <w:sz w:val="22"/>
                <w:szCs w:val="22"/>
                <w:lang w:eastAsia="lt-LT"/>
              </w:rPr>
              <w:t>Projektas</w:t>
            </w:r>
            <w:r w:rsidRPr="00A61C07">
              <w:rPr>
                <w:sz w:val="22"/>
                <w:szCs w:val="22"/>
                <w:lang w:eastAsia="lt-LT"/>
              </w:rPr>
              <w:br/>
              <w:t>2023-02-02</w:t>
            </w:r>
          </w:p>
        </w:tc>
      </w:tr>
      <w:tr w:rsidR="00A61C07" w:rsidRPr="00A61C07" w14:paraId="64E64A9A" w14:textId="77777777" w:rsidTr="00084E5E">
        <w:trPr>
          <w:trHeight w:val="96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4ED2F34" w14:textId="00630959" w:rsidR="00A61C07" w:rsidRPr="00A61C07" w:rsidRDefault="00A61C07" w:rsidP="00A61C07">
            <w:pPr>
              <w:ind w:firstLine="0"/>
              <w:jc w:val="left"/>
              <w:rPr>
                <w:sz w:val="22"/>
                <w:szCs w:val="22"/>
                <w:lang w:eastAsia="lt-LT"/>
              </w:rPr>
            </w:pPr>
            <w:r w:rsidRPr="00A61C07">
              <w:rPr>
                <w:sz w:val="22"/>
                <w:szCs w:val="22"/>
                <w:lang w:eastAsia="lt-LT"/>
              </w:rPr>
              <w:t>Plėtoti sveiką gyvenseną ir stiprinti sveikos gyvensenos įgūdžius ugdymo įstaigose ir bendruomenėse, vykdyti visuomenės</w:t>
            </w:r>
            <w:r w:rsidR="00C652B4">
              <w:rPr>
                <w:sz w:val="22"/>
                <w:szCs w:val="22"/>
                <w:lang w:eastAsia="lt-LT"/>
              </w:rPr>
              <w:t xml:space="preserve"> </w:t>
            </w:r>
            <w:r w:rsidRPr="00A61C07">
              <w:rPr>
                <w:sz w:val="22"/>
                <w:szCs w:val="22"/>
                <w:lang w:eastAsia="lt-LT"/>
              </w:rPr>
              <w:t>sveikatos stebėseną savivaldybėse</w:t>
            </w:r>
          </w:p>
        </w:tc>
        <w:tc>
          <w:tcPr>
            <w:tcW w:w="682" w:type="pct"/>
            <w:tcBorders>
              <w:top w:val="nil"/>
              <w:left w:val="nil"/>
              <w:bottom w:val="single" w:sz="4" w:space="0" w:color="auto"/>
              <w:right w:val="single" w:sz="4" w:space="0" w:color="auto"/>
            </w:tcBorders>
            <w:shd w:val="clear" w:color="auto" w:fill="auto"/>
            <w:noWrap/>
            <w:vAlign w:val="center"/>
            <w:hideMark/>
          </w:tcPr>
          <w:p w14:paraId="6A38A61F" w14:textId="77777777" w:rsidR="00A61C07" w:rsidRPr="00A61C07" w:rsidRDefault="00A61C07" w:rsidP="00A61C07">
            <w:pPr>
              <w:ind w:firstLine="0"/>
              <w:jc w:val="center"/>
              <w:rPr>
                <w:sz w:val="22"/>
                <w:szCs w:val="22"/>
                <w:lang w:eastAsia="lt-LT"/>
              </w:rPr>
            </w:pPr>
            <w:r w:rsidRPr="00A61C07">
              <w:rPr>
                <w:sz w:val="22"/>
                <w:szCs w:val="22"/>
                <w:lang w:eastAsia="lt-LT"/>
              </w:rPr>
              <w:t>138000</w:t>
            </w:r>
          </w:p>
        </w:tc>
        <w:tc>
          <w:tcPr>
            <w:tcW w:w="683" w:type="pct"/>
            <w:tcBorders>
              <w:top w:val="nil"/>
              <w:left w:val="nil"/>
              <w:bottom w:val="single" w:sz="4" w:space="0" w:color="auto"/>
              <w:right w:val="single" w:sz="4" w:space="0" w:color="auto"/>
            </w:tcBorders>
            <w:shd w:val="clear" w:color="auto" w:fill="auto"/>
            <w:noWrap/>
            <w:vAlign w:val="center"/>
            <w:hideMark/>
          </w:tcPr>
          <w:p w14:paraId="1A49D100" w14:textId="77777777" w:rsidR="00A61C07" w:rsidRPr="00A61C07" w:rsidRDefault="00A61C07" w:rsidP="00A61C07">
            <w:pPr>
              <w:ind w:firstLine="0"/>
              <w:jc w:val="center"/>
              <w:rPr>
                <w:sz w:val="22"/>
                <w:szCs w:val="22"/>
                <w:lang w:eastAsia="lt-LT"/>
              </w:rPr>
            </w:pPr>
            <w:r w:rsidRPr="00A61C07">
              <w:rPr>
                <w:sz w:val="22"/>
                <w:szCs w:val="22"/>
                <w:lang w:eastAsia="lt-LT"/>
              </w:rPr>
              <w:t>-4700</w:t>
            </w:r>
          </w:p>
        </w:tc>
        <w:tc>
          <w:tcPr>
            <w:tcW w:w="597" w:type="pct"/>
            <w:tcBorders>
              <w:top w:val="nil"/>
              <w:left w:val="nil"/>
              <w:bottom w:val="single" w:sz="4" w:space="0" w:color="auto"/>
              <w:right w:val="single" w:sz="4" w:space="0" w:color="auto"/>
            </w:tcBorders>
            <w:shd w:val="clear" w:color="auto" w:fill="auto"/>
            <w:noWrap/>
            <w:vAlign w:val="center"/>
            <w:hideMark/>
          </w:tcPr>
          <w:p w14:paraId="1CE3A965" w14:textId="77777777" w:rsidR="00A61C07" w:rsidRPr="00A61C07" w:rsidRDefault="00A61C07" w:rsidP="00A61C07">
            <w:pPr>
              <w:ind w:firstLine="0"/>
              <w:jc w:val="center"/>
              <w:rPr>
                <w:sz w:val="22"/>
                <w:szCs w:val="22"/>
                <w:lang w:eastAsia="lt-LT"/>
              </w:rPr>
            </w:pPr>
            <w:r w:rsidRPr="00A61C07">
              <w:rPr>
                <w:sz w:val="22"/>
                <w:szCs w:val="22"/>
                <w:lang w:eastAsia="lt-LT"/>
              </w:rPr>
              <w:t>133300</w:t>
            </w:r>
          </w:p>
        </w:tc>
      </w:tr>
      <w:tr w:rsidR="00A61C07" w:rsidRPr="00A61C07" w14:paraId="2CBE906F" w14:textId="77777777" w:rsidTr="00084E5E">
        <w:trPr>
          <w:trHeight w:val="40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1C8D7A6" w14:textId="77777777" w:rsidR="00A61C07" w:rsidRPr="00A61C07" w:rsidRDefault="00A61C07" w:rsidP="00A61C07">
            <w:pPr>
              <w:ind w:firstLine="0"/>
              <w:jc w:val="left"/>
              <w:rPr>
                <w:sz w:val="22"/>
                <w:szCs w:val="22"/>
                <w:lang w:eastAsia="lt-LT"/>
              </w:rPr>
            </w:pPr>
            <w:r w:rsidRPr="00A61C07">
              <w:rPr>
                <w:sz w:val="22"/>
                <w:szCs w:val="22"/>
                <w:lang w:eastAsia="lt-LT"/>
              </w:rPr>
              <w:t>Neveiksnių asmenų būklės peržiūrėjimo funkcijai atlikti</w:t>
            </w:r>
          </w:p>
        </w:tc>
        <w:tc>
          <w:tcPr>
            <w:tcW w:w="682" w:type="pct"/>
            <w:tcBorders>
              <w:top w:val="nil"/>
              <w:left w:val="nil"/>
              <w:bottom w:val="single" w:sz="4" w:space="0" w:color="auto"/>
              <w:right w:val="single" w:sz="4" w:space="0" w:color="auto"/>
            </w:tcBorders>
            <w:shd w:val="clear" w:color="auto" w:fill="auto"/>
            <w:noWrap/>
            <w:vAlign w:val="center"/>
            <w:hideMark/>
          </w:tcPr>
          <w:p w14:paraId="4105F61D" w14:textId="77777777" w:rsidR="00A61C07" w:rsidRPr="00A61C07" w:rsidRDefault="00A61C07" w:rsidP="00A61C07">
            <w:pPr>
              <w:ind w:firstLine="0"/>
              <w:jc w:val="center"/>
              <w:rPr>
                <w:sz w:val="22"/>
                <w:szCs w:val="22"/>
                <w:lang w:eastAsia="lt-LT"/>
              </w:rPr>
            </w:pPr>
            <w:r w:rsidRPr="00A61C07">
              <w:rPr>
                <w:sz w:val="22"/>
                <w:szCs w:val="22"/>
                <w:lang w:eastAsia="lt-LT"/>
              </w:rPr>
              <w:t>3100</w:t>
            </w:r>
          </w:p>
        </w:tc>
        <w:tc>
          <w:tcPr>
            <w:tcW w:w="683" w:type="pct"/>
            <w:tcBorders>
              <w:top w:val="nil"/>
              <w:left w:val="nil"/>
              <w:bottom w:val="single" w:sz="4" w:space="0" w:color="auto"/>
              <w:right w:val="single" w:sz="4" w:space="0" w:color="auto"/>
            </w:tcBorders>
            <w:shd w:val="clear" w:color="auto" w:fill="auto"/>
            <w:noWrap/>
            <w:vAlign w:val="center"/>
            <w:hideMark/>
          </w:tcPr>
          <w:p w14:paraId="1CBF854A" w14:textId="77777777" w:rsidR="00A61C07" w:rsidRPr="00A61C07" w:rsidRDefault="00A61C07" w:rsidP="00A61C07">
            <w:pPr>
              <w:ind w:firstLine="0"/>
              <w:jc w:val="center"/>
              <w:rPr>
                <w:sz w:val="22"/>
                <w:szCs w:val="22"/>
                <w:lang w:eastAsia="lt-LT"/>
              </w:rPr>
            </w:pPr>
            <w:r w:rsidRPr="00A61C07">
              <w:rPr>
                <w:sz w:val="22"/>
                <w:szCs w:val="22"/>
                <w:lang w:eastAsia="lt-LT"/>
              </w:rPr>
              <w:t>-600</w:t>
            </w:r>
          </w:p>
        </w:tc>
        <w:tc>
          <w:tcPr>
            <w:tcW w:w="597" w:type="pct"/>
            <w:tcBorders>
              <w:top w:val="nil"/>
              <w:left w:val="nil"/>
              <w:bottom w:val="single" w:sz="4" w:space="0" w:color="auto"/>
              <w:right w:val="single" w:sz="4" w:space="0" w:color="auto"/>
            </w:tcBorders>
            <w:shd w:val="clear" w:color="auto" w:fill="auto"/>
            <w:noWrap/>
            <w:vAlign w:val="center"/>
            <w:hideMark/>
          </w:tcPr>
          <w:p w14:paraId="7A6917AF" w14:textId="77777777" w:rsidR="00A61C07" w:rsidRPr="00A61C07" w:rsidRDefault="00A61C07" w:rsidP="00A61C07">
            <w:pPr>
              <w:ind w:firstLine="0"/>
              <w:jc w:val="center"/>
              <w:rPr>
                <w:sz w:val="22"/>
                <w:szCs w:val="22"/>
                <w:lang w:eastAsia="lt-LT"/>
              </w:rPr>
            </w:pPr>
            <w:r w:rsidRPr="00A61C07">
              <w:rPr>
                <w:sz w:val="22"/>
                <w:szCs w:val="22"/>
                <w:lang w:eastAsia="lt-LT"/>
              </w:rPr>
              <w:t>2500</w:t>
            </w:r>
          </w:p>
        </w:tc>
      </w:tr>
      <w:tr w:rsidR="00A61C07" w:rsidRPr="00A61C07" w14:paraId="04C58409" w14:textId="77777777" w:rsidTr="00084E5E">
        <w:trPr>
          <w:trHeight w:val="87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25B7AF8B" w14:textId="77777777" w:rsidR="00A61C07" w:rsidRPr="00A61C07" w:rsidRDefault="00A61C07" w:rsidP="00A61C07">
            <w:pPr>
              <w:ind w:firstLine="0"/>
              <w:jc w:val="left"/>
              <w:rPr>
                <w:sz w:val="22"/>
                <w:szCs w:val="22"/>
                <w:lang w:eastAsia="lt-LT"/>
              </w:rPr>
            </w:pPr>
            <w:r w:rsidRPr="00A61C07">
              <w:rPr>
                <w:sz w:val="22"/>
                <w:szCs w:val="22"/>
                <w:lang w:eastAsia="lt-LT"/>
              </w:rPr>
              <w:t>Plėtoti visuomenės psichikos sveikatos paslaugų prieinamumą bei ankstyvojo savižudybių atpažinimo ir kompleksinės pagalbos teikimo sistemą</w:t>
            </w:r>
          </w:p>
        </w:tc>
        <w:tc>
          <w:tcPr>
            <w:tcW w:w="682" w:type="pct"/>
            <w:tcBorders>
              <w:top w:val="nil"/>
              <w:left w:val="nil"/>
              <w:bottom w:val="single" w:sz="4" w:space="0" w:color="auto"/>
              <w:right w:val="single" w:sz="4" w:space="0" w:color="auto"/>
            </w:tcBorders>
            <w:shd w:val="clear" w:color="auto" w:fill="auto"/>
            <w:noWrap/>
            <w:vAlign w:val="center"/>
            <w:hideMark/>
          </w:tcPr>
          <w:p w14:paraId="12D62A56" w14:textId="77777777" w:rsidR="00A61C07" w:rsidRPr="00A61C07" w:rsidRDefault="00A61C07" w:rsidP="00A61C07">
            <w:pPr>
              <w:ind w:firstLine="0"/>
              <w:jc w:val="center"/>
              <w:rPr>
                <w:sz w:val="22"/>
                <w:szCs w:val="22"/>
                <w:lang w:eastAsia="lt-LT"/>
              </w:rPr>
            </w:pPr>
            <w:r w:rsidRPr="00A61C07">
              <w:rPr>
                <w:sz w:val="22"/>
                <w:szCs w:val="22"/>
                <w:lang w:eastAsia="lt-LT"/>
              </w:rPr>
              <w:t>32700</w:t>
            </w:r>
          </w:p>
        </w:tc>
        <w:tc>
          <w:tcPr>
            <w:tcW w:w="683" w:type="pct"/>
            <w:tcBorders>
              <w:top w:val="nil"/>
              <w:left w:val="nil"/>
              <w:bottom w:val="single" w:sz="4" w:space="0" w:color="auto"/>
              <w:right w:val="single" w:sz="4" w:space="0" w:color="auto"/>
            </w:tcBorders>
            <w:shd w:val="clear" w:color="auto" w:fill="auto"/>
            <w:noWrap/>
            <w:vAlign w:val="center"/>
            <w:hideMark/>
          </w:tcPr>
          <w:p w14:paraId="3D22D99E" w14:textId="77777777" w:rsidR="00A61C07" w:rsidRPr="00A61C07" w:rsidRDefault="00A61C07" w:rsidP="00A61C07">
            <w:pPr>
              <w:ind w:firstLine="0"/>
              <w:jc w:val="center"/>
              <w:rPr>
                <w:sz w:val="22"/>
                <w:szCs w:val="22"/>
                <w:lang w:eastAsia="lt-LT"/>
              </w:rPr>
            </w:pPr>
            <w:r w:rsidRPr="00A61C07">
              <w:rPr>
                <w:sz w:val="22"/>
                <w:szCs w:val="22"/>
                <w:lang w:eastAsia="lt-LT"/>
              </w:rPr>
              <w:t>-1300</w:t>
            </w:r>
          </w:p>
        </w:tc>
        <w:tc>
          <w:tcPr>
            <w:tcW w:w="597" w:type="pct"/>
            <w:tcBorders>
              <w:top w:val="nil"/>
              <w:left w:val="nil"/>
              <w:bottom w:val="single" w:sz="4" w:space="0" w:color="auto"/>
              <w:right w:val="single" w:sz="4" w:space="0" w:color="auto"/>
            </w:tcBorders>
            <w:shd w:val="clear" w:color="auto" w:fill="auto"/>
            <w:noWrap/>
            <w:vAlign w:val="center"/>
            <w:hideMark/>
          </w:tcPr>
          <w:p w14:paraId="7D035AF6" w14:textId="77777777" w:rsidR="00A61C07" w:rsidRPr="00A61C07" w:rsidRDefault="00A61C07" w:rsidP="00A61C07">
            <w:pPr>
              <w:ind w:firstLine="0"/>
              <w:jc w:val="center"/>
              <w:rPr>
                <w:sz w:val="22"/>
                <w:szCs w:val="22"/>
                <w:lang w:eastAsia="lt-LT"/>
              </w:rPr>
            </w:pPr>
            <w:r w:rsidRPr="00A61C07">
              <w:rPr>
                <w:sz w:val="22"/>
                <w:szCs w:val="22"/>
                <w:lang w:eastAsia="lt-LT"/>
              </w:rPr>
              <w:t>31400</w:t>
            </w:r>
          </w:p>
        </w:tc>
      </w:tr>
      <w:tr w:rsidR="00A61C07" w:rsidRPr="00A61C07" w14:paraId="7E09AEF1" w14:textId="77777777" w:rsidTr="00084E5E">
        <w:trPr>
          <w:trHeight w:val="402"/>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2866F9B4" w14:textId="77777777" w:rsidR="00A61C07" w:rsidRPr="00A61C07" w:rsidRDefault="00A61C07" w:rsidP="00A61C07">
            <w:pPr>
              <w:ind w:firstLine="0"/>
              <w:jc w:val="left"/>
              <w:rPr>
                <w:sz w:val="22"/>
                <w:szCs w:val="22"/>
                <w:lang w:eastAsia="lt-LT"/>
              </w:rPr>
            </w:pPr>
            <w:r w:rsidRPr="00A61C07">
              <w:rPr>
                <w:sz w:val="22"/>
                <w:szCs w:val="22"/>
                <w:lang w:eastAsia="lt-LT"/>
              </w:rPr>
              <w:t>Gyventojų registrui tvarkyti ir duomenims valstybės registrui teikti</w:t>
            </w:r>
          </w:p>
        </w:tc>
        <w:tc>
          <w:tcPr>
            <w:tcW w:w="682" w:type="pct"/>
            <w:tcBorders>
              <w:top w:val="nil"/>
              <w:left w:val="nil"/>
              <w:bottom w:val="single" w:sz="4" w:space="0" w:color="auto"/>
              <w:right w:val="single" w:sz="4" w:space="0" w:color="auto"/>
            </w:tcBorders>
            <w:shd w:val="clear" w:color="auto" w:fill="auto"/>
            <w:noWrap/>
            <w:vAlign w:val="center"/>
            <w:hideMark/>
          </w:tcPr>
          <w:p w14:paraId="11863D38" w14:textId="77777777" w:rsidR="00A61C07" w:rsidRPr="00A61C07" w:rsidRDefault="00A61C07" w:rsidP="00A61C07">
            <w:pPr>
              <w:ind w:firstLine="0"/>
              <w:jc w:val="center"/>
              <w:rPr>
                <w:sz w:val="22"/>
                <w:szCs w:val="22"/>
                <w:lang w:eastAsia="lt-LT"/>
              </w:rPr>
            </w:pPr>
            <w:r w:rsidRPr="00A61C07">
              <w:rPr>
                <w:sz w:val="22"/>
                <w:szCs w:val="22"/>
                <w:lang w:eastAsia="lt-LT"/>
              </w:rPr>
              <w:t>300</w:t>
            </w:r>
          </w:p>
        </w:tc>
        <w:tc>
          <w:tcPr>
            <w:tcW w:w="683" w:type="pct"/>
            <w:tcBorders>
              <w:top w:val="nil"/>
              <w:left w:val="nil"/>
              <w:bottom w:val="single" w:sz="4" w:space="0" w:color="auto"/>
              <w:right w:val="single" w:sz="4" w:space="0" w:color="auto"/>
            </w:tcBorders>
            <w:shd w:val="clear" w:color="auto" w:fill="auto"/>
            <w:noWrap/>
            <w:vAlign w:val="center"/>
            <w:hideMark/>
          </w:tcPr>
          <w:p w14:paraId="65E7441D" w14:textId="77777777" w:rsidR="00A61C07" w:rsidRPr="00A61C07" w:rsidRDefault="00A61C07" w:rsidP="00A61C07">
            <w:pPr>
              <w:ind w:firstLine="0"/>
              <w:jc w:val="center"/>
              <w:rPr>
                <w:sz w:val="22"/>
                <w:szCs w:val="22"/>
                <w:lang w:eastAsia="lt-LT"/>
              </w:rPr>
            </w:pPr>
            <w:r w:rsidRPr="00A61C07">
              <w:rPr>
                <w:sz w:val="22"/>
                <w:szCs w:val="22"/>
                <w:lang w:eastAsia="lt-LT"/>
              </w:rPr>
              <w:t>0</w:t>
            </w:r>
          </w:p>
        </w:tc>
        <w:tc>
          <w:tcPr>
            <w:tcW w:w="597" w:type="pct"/>
            <w:tcBorders>
              <w:top w:val="nil"/>
              <w:left w:val="nil"/>
              <w:bottom w:val="single" w:sz="4" w:space="0" w:color="auto"/>
              <w:right w:val="single" w:sz="4" w:space="0" w:color="auto"/>
            </w:tcBorders>
            <w:shd w:val="clear" w:color="auto" w:fill="auto"/>
            <w:noWrap/>
            <w:vAlign w:val="center"/>
            <w:hideMark/>
          </w:tcPr>
          <w:p w14:paraId="742D0445" w14:textId="77777777" w:rsidR="00A61C07" w:rsidRPr="00A61C07" w:rsidRDefault="00A61C07" w:rsidP="00A61C07">
            <w:pPr>
              <w:ind w:firstLine="0"/>
              <w:jc w:val="center"/>
              <w:rPr>
                <w:sz w:val="22"/>
                <w:szCs w:val="22"/>
                <w:lang w:eastAsia="lt-LT"/>
              </w:rPr>
            </w:pPr>
            <w:r w:rsidRPr="00A61C07">
              <w:rPr>
                <w:sz w:val="22"/>
                <w:szCs w:val="22"/>
                <w:lang w:eastAsia="lt-LT"/>
              </w:rPr>
              <w:t>300</w:t>
            </w:r>
          </w:p>
        </w:tc>
      </w:tr>
      <w:tr w:rsidR="00A61C07" w:rsidRPr="00A61C07" w14:paraId="0E882CD3" w14:textId="77777777" w:rsidTr="00084E5E">
        <w:trPr>
          <w:trHeight w:val="63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548958B3" w14:textId="77777777" w:rsidR="00A61C07" w:rsidRPr="00A61C07" w:rsidRDefault="00A61C07" w:rsidP="00A61C07">
            <w:pPr>
              <w:ind w:firstLine="0"/>
              <w:jc w:val="left"/>
              <w:rPr>
                <w:sz w:val="22"/>
                <w:szCs w:val="22"/>
                <w:lang w:eastAsia="lt-LT"/>
              </w:rPr>
            </w:pPr>
            <w:r w:rsidRPr="00A61C07">
              <w:rPr>
                <w:sz w:val="22"/>
                <w:szCs w:val="22"/>
                <w:lang w:eastAsia="lt-LT"/>
              </w:rPr>
              <w:t>Gyvenamosios vietos deklaravimo duomenų ir gyvenamosios vietos neturinčių asmenų apskaitos duomenims tvarkyti</w:t>
            </w:r>
          </w:p>
        </w:tc>
        <w:tc>
          <w:tcPr>
            <w:tcW w:w="682" w:type="pct"/>
            <w:tcBorders>
              <w:top w:val="nil"/>
              <w:left w:val="nil"/>
              <w:bottom w:val="single" w:sz="4" w:space="0" w:color="auto"/>
              <w:right w:val="single" w:sz="4" w:space="0" w:color="auto"/>
            </w:tcBorders>
            <w:shd w:val="clear" w:color="auto" w:fill="auto"/>
            <w:noWrap/>
            <w:vAlign w:val="center"/>
            <w:hideMark/>
          </w:tcPr>
          <w:p w14:paraId="341C9C53" w14:textId="77777777" w:rsidR="00A61C07" w:rsidRPr="00A61C07" w:rsidRDefault="00A61C07" w:rsidP="00A61C07">
            <w:pPr>
              <w:ind w:firstLine="0"/>
              <w:jc w:val="center"/>
              <w:rPr>
                <w:sz w:val="22"/>
                <w:szCs w:val="22"/>
                <w:lang w:eastAsia="lt-LT"/>
              </w:rPr>
            </w:pPr>
            <w:r w:rsidRPr="00A61C07">
              <w:rPr>
                <w:sz w:val="22"/>
                <w:szCs w:val="22"/>
                <w:lang w:eastAsia="lt-LT"/>
              </w:rPr>
              <w:t>2400</w:t>
            </w:r>
          </w:p>
        </w:tc>
        <w:tc>
          <w:tcPr>
            <w:tcW w:w="683" w:type="pct"/>
            <w:tcBorders>
              <w:top w:val="nil"/>
              <w:left w:val="nil"/>
              <w:bottom w:val="single" w:sz="4" w:space="0" w:color="auto"/>
              <w:right w:val="single" w:sz="4" w:space="0" w:color="auto"/>
            </w:tcBorders>
            <w:shd w:val="clear" w:color="auto" w:fill="auto"/>
            <w:noWrap/>
            <w:vAlign w:val="center"/>
            <w:hideMark/>
          </w:tcPr>
          <w:p w14:paraId="48A5F910" w14:textId="77777777" w:rsidR="00A61C07" w:rsidRPr="00A61C07" w:rsidRDefault="00A61C07" w:rsidP="00A61C07">
            <w:pPr>
              <w:ind w:firstLine="0"/>
              <w:jc w:val="center"/>
              <w:rPr>
                <w:sz w:val="22"/>
                <w:szCs w:val="22"/>
                <w:lang w:eastAsia="lt-LT"/>
              </w:rPr>
            </w:pPr>
            <w:r w:rsidRPr="00A61C07">
              <w:rPr>
                <w:sz w:val="22"/>
                <w:szCs w:val="22"/>
                <w:lang w:eastAsia="lt-LT"/>
              </w:rPr>
              <w:t>-600</w:t>
            </w:r>
          </w:p>
        </w:tc>
        <w:tc>
          <w:tcPr>
            <w:tcW w:w="597" w:type="pct"/>
            <w:tcBorders>
              <w:top w:val="nil"/>
              <w:left w:val="nil"/>
              <w:bottom w:val="single" w:sz="4" w:space="0" w:color="auto"/>
              <w:right w:val="single" w:sz="4" w:space="0" w:color="auto"/>
            </w:tcBorders>
            <w:shd w:val="clear" w:color="auto" w:fill="auto"/>
            <w:noWrap/>
            <w:vAlign w:val="center"/>
            <w:hideMark/>
          </w:tcPr>
          <w:p w14:paraId="2250BDA5" w14:textId="77777777" w:rsidR="00A61C07" w:rsidRPr="00A61C07" w:rsidRDefault="00A61C07" w:rsidP="00A61C07">
            <w:pPr>
              <w:ind w:firstLine="0"/>
              <w:jc w:val="center"/>
              <w:rPr>
                <w:sz w:val="22"/>
                <w:szCs w:val="22"/>
                <w:lang w:eastAsia="lt-LT"/>
              </w:rPr>
            </w:pPr>
            <w:r w:rsidRPr="00A61C07">
              <w:rPr>
                <w:sz w:val="22"/>
                <w:szCs w:val="22"/>
                <w:lang w:eastAsia="lt-LT"/>
              </w:rPr>
              <w:t>1800</w:t>
            </w:r>
          </w:p>
        </w:tc>
      </w:tr>
      <w:tr w:rsidR="00A61C07" w:rsidRPr="00A61C07" w14:paraId="38F96F17"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92C51E1" w14:textId="77777777" w:rsidR="00A61C07" w:rsidRPr="00A61C07" w:rsidRDefault="00A61C07" w:rsidP="00A61C07">
            <w:pPr>
              <w:ind w:firstLine="0"/>
              <w:jc w:val="left"/>
              <w:rPr>
                <w:sz w:val="22"/>
                <w:szCs w:val="22"/>
                <w:lang w:eastAsia="lt-LT"/>
              </w:rPr>
            </w:pPr>
            <w:r w:rsidRPr="00A61C07">
              <w:rPr>
                <w:sz w:val="22"/>
                <w:szCs w:val="22"/>
                <w:lang w:eastAsia="lt-LT"/>
              </w:rPr>
              <w:t>Priešgaisrinei saugai</w:t>
            </w:r>
          </w:p>
        </w:tc>
        <w:tc>
          <w:tcPr>
            <w:tcW w:w="682" w:type="pct"/>
            <w:tcBorders>
              <w:top w:val="nil"/>
              <w:left w:val="nil"/>
              <w:bottom w:val="single" w:sz="4" w:space="0" w:color="auto"/>
              <w:right w:val="single" w:sz="4" w:space="0" w:color="auto"/>
            </w:tcBorders>
            <w:shd w:val="clear" w:color="auto" w:fill="auto"/>
            <w:noWrap/>
            <w:vAlign w:val="center"/>
            <w:hideMark/>
          </w:tcPr>
          <w:p w14:paraId="544DD331" w14:textId="77777777" w:rsidR="00A61C07" w:rsidRPr="00A61C07" w:rsidRDefault="00A61C07" w:rsidP="00A61C07">
            <w:pPr>
              <w:ind w:firstLine="0"/>
              <w:jc w:val="center"/>
              <w:rPr>
                <w:sz w:val="22"/>
                <w:szCs w:val="22"/>
                <w:lang w:eastAsia="lt-LT"/>
              </w:rPr>
            </w:pPr>
            <w:r w:rsidRPr="00A61C07">
              <w:rPr>
                <w:sz w:val="22"/>
                <w:szCs w:val="22"/>
                <w:lang w:eastAsia="lt-LT"/>
              </w:rPr>
              <w:t>798600</w:t>
            </w:r>
          </w:p>
        </w:tc>
        <w:tc>
          <w:tcPr>
            <w:tcW w:w="683" w:type="pct"/>
            <w:tcBorders>
              <w:top w:val="nil"/>
              <w:left w:val="nil"/>
              <w:bottom w:val="single" w:sz="4" w:space="0" w:color="auto"/>
              <w:right w:val="single" w:sz="4" w:space="0" w:color="auto"/>
            </w:tcBorders>
            <w:shd w:val="clear" w:color="auto" w:fill="auto"/>
            <w:noWrap/>
            <w:vAlign w:val="center"/>
            <w:hideMark/>
          </w:tcPr>
          <w:p w14:paraId="48ABF051" w14:textId="77777777" w:rsidR="00A61C07" w:rsidRPr="00A61C07" w:rsidRDefault="00A61C07" w:rsidP="00A61C07">
            <w:pPr>
              <w:ind w:firstLine="0"/>
              <w:jc w:val="center"/>
              <w:rPr>
                <w:sz w:val="22"/>
                <w:szCs w:val="22"/>
                <w:lang w:eastAsia="lt-LT"/>
              </w:rPr>
            </w:pPr>
            <w:r w:rsidRPr="00A61C07">
              <w:rPr>
                <w:sz w:val="22"/>
                <w:szCs w:val="22"/>
                <w:lang w:eastAsia="lt-LT"/>
              </w:rPr>
              <w:t>39200</w:t>
            </w:r>
          </w:p>
        </w:tc>
        <w:tc>
          <w:tcPr>
            <w:tcW w:w="597" w:type="pct"/>
            <w:tcBorders>
              <w:top w:val="nil"/>
              <w:left w:val="nil"/>
              <w:bottom w:val="single" w:sz="4" w:space="0" w:color="auto"/>
              <w:right w:val="single" w:sz="4" w:space="0" w:color="auto"/>
            </w:tcBorders>
            <w:shd w:val="clear" w:color="auto" w:fill="auto"/>
            <w:noWrap/>
            <w:vAlign w:val="center"/>
            <w:hideMark/>
          </w:tcPr>
          <w:p w14:paraId="072F3463" w14:textId="77777777" w:rsidR="00A61C07" w:rsidRPr="00A61C07" w:rsidRDefault="00A61C07" w:rsidP="00A61C07">
            <w:pPr>
              <w:ind w:firstLine="0"/>
              <w:jc w:val="center"/>
              <w:rPr>
                <w:sz w:val="22"/>
                <w:szCs w:val="22"/>
                <w:lang w:eastAsia="lt-LT"/>
              </w:rPr>
            </w:pPr>
            <w:r w:rsidRPr="00A61C07">
              <w:rPr>
                <w:sz w:val="22"/>
                <w:szCs w:val="22"/>
                <w:lang w:eastAsia="lt-LT"/>
              </w:rPr>
              <w:t>837800</w:t>
            </w:r>
          </w:p>
        </w:tc>
      </w:tr>
      <w:tr w:rsidR="00A61C07" w:rsidRPr="00A61C07" w14:paraId="153D0290"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542796E0" w14:textId="77777777" w:rsidR="00A61C07" w:rsidRPr="00A61C07" w:rsidRDefault="00A61C07" w:rsidP="00A61C07">
            <w:pPr>
              <w:ind w:firstLine="0"/>
              <w:jc w:val="left"/>
              <w:rPr>
                <w:sz w:val="22"/>
                <w:szCs w:val="22"/>
                <w:lang w:eastAsia="lt-LT"/>
              </w:rPr>
            </w:pPr>
            <w:r w:rsidRPr="00A61C07">
              <w:rPr>
                <w:sz w:val="22"/>
                <w:szCs w:val="22"/>
                <w:lang w:eastAsia="lt-LT"/>
              </w:rPr>
              <w:t>Civilinei saugai</w:t>
            </w:r>
          </w:p>
        </w:tc>
        <w:tc>
          <w:tcPr>
            <w:tcW w:w="682" w:type="pct"/>
            <w:tcBorders>
              <w:top w:val="nil"/>
              <w:left w:val="nil"/>
              <w:bottom w:val="single" w:sz="4" w:space="0" w:color="auto"/>
              <w:right w:val="single" w:sz="4" w:space="0" w:color="auto"/>
            </w:tcBorders>
            <w:shd w:val="clear" w:color="auto" w:fill="auto"/>
            <w:noWrap/>
            <w:vAlign w:val="center"/>
            <w:hideMark/>
          </w:tcPr>
          <w:p w14:paraId="0DD40132" w14:textId="77777777" w:rsidR="00A61C07" w:rsidRPr="00A61C07" w:rsidRDefault="00A61C07" w:rsidP="00A61C07">
            <w:pPr>
              <w:ind w:firstLine="0"/>
              <w:jc w:val="center"/>
              <w:rPr>
                <w:sz w:val="22"/>
                <w:szCs w:val="22"/>
                <w:lang w:eastAsia="lt-LT"/>
              </w:rPr>
            </w:pPr>
            <w:r w:rsidRPr="00A61C07">
              <w:rPr>
                <w:sz w:val="22"/>
                <w:szCs w:val="22"/>
                <w:lang w:eastAsia="lt-LT"/>
              </w:rPr>
              <w:t>16300</w:t>
            </w:r>
          </w:p>
        </w:tc>
        <w:tc>
          <w:tcPr>
            <w:tcW w:w="683" w:type="pct"/>
            <w:tcBorders>
              <w:top w:val="nil"/>
              <w:left w:val="nil"/>
              <w:bottom w:val="single" w:sz="4" w:space="0" w:color="auto"/>
              <w:right w:val="single" w:sz="4" w:space="0" w:color="auto"/>
            </w:tcBorders>
            <w:shd w:val="clear" w:color="auto" w:fill="auto"/>
            <w:noWrap/>
            <w:vAlign w:val="center"/>
            <w:hideMark/>
          </w:tcPr>
          <w:p w14:paraId="193E8B45" w14:textId="77777777" w:rsidR="00A61C07" w:rsidRPr="00A61C07" w:rsidRDefault="00A61C07" w:rsidP="00A61C07">
            <w:pPr>
              <w:ind w:firstLine="0"/>
              <w:jc w:val="center"/>
              <w:rPr>
                <w:sz w:val="22"/>
                <w:szCs w:val="22"/>
                <w:lang w:eastAsia="lt-LT"/>
              </w:rPr>
            </w:pPr>
            <w:r w:rsidRPr="00A61C07">
              <w:rPr>
                <w:sz w:val="22"/>
                <w:szCs w:val="22"/>
                <w:lang w:eastAsia="lt-LT"/>
              </w:rPr>
              <w:t>4000</w:t>
            </w:r>
          </w:p>
        </w:tc>
        <w:tc>
          <w:tcPr>
            <w:tcW w:w="597" w:type="pct"/>
            <w:tcBorders>
              <w:top w:val="nil"/>
              <w:left w:val="nil"/>
              <w:bottom w:val="single" w:sz="4" w:space="0" w:color="auto"/>
              <w:right w:val="single" w:sz="4" w:space="0" w:color="auto"/>
            </w:tcBorders>
            <w:shd w:val="clear" w:color="auto" w:fill="auto"/>
            <w:noWrap/>
            <w:vAlign w:val="center"/>
            <w:hideMark/>
          </w:tcPr>
          <w:p w14:paraId="0F71A113" w14:textId="77777777" w:rsidR="00A61C07" w:rsidRPr="00A61C07" w:rsidRDefault="00A61C07" w:rsidP="00A61C07">
            <w:pPr>
              <w:ind w:firstLine="0"/>
              <w:jc w:val="center"/>
              <w:rPr>
                <w:sz w:val="22"/>
                <w:szCs w:val="22"/>
                <w:lang w:eastAsia="lt-LT"/>
              </w:rPr>
            </w:pPr>
            <w:r w:rsidRPr="00A61C07">
              <w:rPr>
                <w:sz w:val="22"/>
                <w:szCs w:val="22"/>
                <w:lang w:eastAsia="lt-LT"/>
              </w:rPr>
              <w:t>20300</w:t>
            </w:r>
          </w:p>
        </w:tc>
      </w:tr>
      <w:tr w:rsidR="00A61C07" w:rsidRPr="00A61C07" w14:paraId="1E551752" w14:textId="77777777" w:rsidTr="00084E5E">
        <w:trPr>
          <w:trHeight w:val="72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60980BAD" w14:textId="77777777" w:rsidR="00A61C07" w:rsidRPr="00A61C07" w:rsidRDefault="00A61C07" w:rsidP="00A61C07">
            <w:pPr>
              <w:ind w:firstLine="0"/>
              <w:jc w:val="left"/>
              <w:rPr>
                <w:sz w:val="22"/>
                <w:szCs w:val="22"/>
                <w:lang w:eastAsia="lt-LT"/>
              </w:rPr>
            </w:pPr>
            <w:r w:rsidRPr="00A61C07">
              <w:rPr>
                <w:sz w:val="22"/>
                <w:szCs w:val="22"/>
                <w:lang w:eastAsia="lt-LT"/>
              </w:rPr>
              <w:t>Dalyvauti rengiant ir vykdant mobilizaciją, demobilizaciją, priimančios šalies paramą</w:t>
            </w:r>
          </w:p>
        </w:tc>
        <w:tc>
          <w:tcPr>
            <w:tcW w:w="682" w:type="pct"/>
            <w:tcBorders>
              <w:top w:val="nil"/>
              <w:left w:val="nil"/>
              <w:bottom w:val="single" w:sz="4" w:space="0" w:color="auto"/>
              <w:right w:val="single" w:sz="4" w:space="0" w:color="auto"/>
            </w:tcBorders>
            <w:shd w:val="clear" w:color="auto" w:fill="auto"/>
            <w:noWrap/>
            <w:vAlign w:val="center"/>
            <w:hideMark/>
          </w:tcPr>
          <w:p w14:paraId="4404E2FC" w14:textId="77777777" w:rsidR="00A61C07" w:rsidRPr="00A61C07" w:rsidRDefault="00A61C07" w:rsidP="00A61C07">
            <w:pPr>
              <w:ind w:firstLine="0"/>
              <w:jc w:val="center"/>
              <w:rPr>
                <w:sz w:val="22"/>
                <w:szCs w:val="22"/>
                <w:lang w:eastAsia="lt-LT"/>
              </w:rPr>
            </w:pPr>
            <w:r w:rsidRPr="00A61C07">
              <w:rPr>
                <w:sz w:val="22"/>
                <w:szCs w:val="22"/>
                <w:lang w:eastAsia="lt-LT"/>
              </w:rPr>
              <w:t>10000</w:t>
            </w:r>
          </w:p>
        </w:tc>
        <w:tc>
          <w:tcPr>
            <w:tcW w:w="683" w:type="pct"/>
            <w:tcBorders>
              <w:top w:val="nil"/>
              <w:left w:val="nil"/>
              <w:bottom w:val="single" w:sz="4" w:space="0" w:color="auto"/>
              <w:right w:val="single" w:sz="4" w:space="0" w:color="auto"/>
            </w:tcBorders>
            <w:shd w:val="clear" w:color="auto" w:fill="auto"/>
            <w:noWrap/>
            <w:vAlign w:val="center"/>
            <w:hideMark/>
          </w:tcPr>
          <w:p w14:paraId="0A84B00C" w14:textId="77777777" w:rsidR="00A61C07" w:rsidRPr="00A61C07" w:rsidRDefault="00A61C07" w:rsidP="00A61C07">
            <w:pPr>
              <w:ind w:firstLine="0"/>
              <w:jc w:val="center"/>
              <w:rPr>
                <w:sz w:val="22"/>
                <w:szCs w:val="22"/>
                <w:lang w:eastAsia="lt-LT"/>
              </w:rPr>
            </w:pPr>
            <w:r w:rsidRPr="00A61C07">
              <w:rPr>
                <w:sz w:val="22"/>
                <w:szCs w:val="22"/>
                <w:lang w:eastAsia="lt-LT"/>
              </w:rPr>
              <w:t>1000</w:t>
            </w:r>
          </w:p>
        </w:tc>
        <w:tc>
          <w:tcPr>
            <w:tcW w:w="597" w:type="pct"/>
            <w:tcBorders>
              <w:top w:val="nil"/>
              <w:left w:val="nil"/>
              <w:bottom w:val="single" w:sz="4" w:space="0" w:color="auto"/>
              <w:right w:val="single" w:sz="4" w:space="0" w:color="auto"/>
            </w:tcBorders>
            <w:shd w:val="clear" w:color="auto" w:fill="auto"/>
            <w:noWrap/>
            <w:vAlign w:val="center"/>
            <w:hideMark/>
          </w:tcPr>
          <w:p w14:paraId="1F626F50" w14:textId="77777777" w:rsidR="00A61C07" w:rsidRPr="00A61C07" w:rsidRDefault="00A61C07" w:rsidP="00A61C07">
            <w:pPr>
              <w:ind w:firstLine="0"/>
              <w:jc w:val="center"/>
              <w:rPr>
                <w:sz w:val="22"/>
                <w:szCs w:val="22"/>
                <w:lang w:eastAsia="lt-LT"/>
              </w:rPr>
            </w:pPr>
            <w:r w:rsidRPr="00A61C07">
              <w:rPr>
                <w:sz w:val="22"/>
                <w:szCs w:val="22"/>
                <w:lang w:eastAsia="lt-LT"/>
              </w:rPr>
              <w:t>11000</w:t>
            </w:r>
          </w:p>
        </w:tc>
      </w:tr>
      <w:tr w:rsidR="00A61C07" w:rsidRPr="00A61C07" w14:paraId="7BEA930F"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416C74AA" w14:textId="77777777" w:rsidR="00A61C07" w:rsidRPr="00A61C07" w:rsidRDefault="00A61C07" w:rsidP="00A61C07">
            <w:pPr>
              <w:ind w:firstLine="0"/>
              <w:jc w:val="left"/>
              <w:rPr>
                <w:sz w:val="22"/>
                <w:szCs w:val="22"/>
                <w:lang w:eastAsia="lt-LT"/>
              </w:rPr>
            </w:pPr>
            <w:r w:rsidRPr="00A61C07">
              <w:rPr>
                <w:sz w:val="22"/>
                <w:szCs w:val="22"/>
                <w:lang w:eastAsia="lt-LT"/>
              </w:rPr>
              <w:t>Žemės ūkio funkcijoms atlikti</w:t>
            </w:r>
          </w:p>
        </w:tc>
        <w:tc>
          <w:tcPr>
            <w:tcW w:w="682" w:type="pct"/>
            <w:tcBorders>
              <w:top w:val="nil"/>
              <w:left w:val="nil"/>
              <w:bottom w:val="single" w:sz="4" w:space="0" w:color="auto"/>
              <w:right w:val="single" w:sz="4" w:space="0" w:color="auto"/>
            </w:tcBorders>
            <w:shd w:val="clear" w:color="auto" w:fill="auto"/>
            <w:noWrap/>
            <w:vAlign w:val="center"/>
            <w:hideMark/>
          </w:tcPr>
          <w:p w14:paraId="78C4695B" w14:textId="77777777" w:rsidR="00A61C07" w:rsidRPr="00A61C07" w:rsidRDefault="00A61C07" w:rsidP="00A61C07">
            <w:pPr>
              <w:ind w:firstLine="0"/>
              <w:jc w:val="center"/>
              <w:rPr>
                <w:sz w:val="22"/>
                <w:szCs w:val="22"/>
                <w:lang w:eastAsia="lt-LT"/>
              </w:rPr>
            </w:pPr>
            <w:r w:rsidRPr="00A61C07">
              <w:rPr>
                <w:sz w:val="22"/>
                <w:szCs w:val="22"/>
                <w:lang w:eastAsia="lt-LT"/>
              </w:rPr>
              <w:t>154800</w:t>
            </w:r>
          </w:p>
        </w:tc>
        <w:tc>
          <w:tcPr>
            <w:tcW w:w="683" w:type="pct"/>
            <w:tcBorders>
              <w:top w:val="nil"/>
              <w:left w:val="nil"/>
              <w:bottom w:val="single" w:sz="4" w:space="0" w:color="auto"/>
              <w:right w:val="single" w:sz="4" w:space="0" w:color="auto"/>
            </w:tcBorders>
            <w:shd w:val="clear" w:color="auto" w:fill="auto"/>
            <w:noWrap/>
            <w:vAlign w:val="center"/>
            <w:hideMark/>
          </w:tcPr>
          <w:p w14:paraId="220AD2D4" w14:textId="77777777" w:rsidR="00A61C07" w:rsidRPr="00A61C07" w:rsidRDefault="00A61C07" w:rsidP="00A61C07">
            <w:pPr>
              <w:ind w:firstLine="0"/>
              <w:jc w:val="center"/>
              <w:rPr>
                <w:sz w:val="22"/>
                <w:szCs w:val="22"/>
                <w:lang w:eastAsia="lt-LT"/>
              </w:rPr>
            </w:pPr>
            <w:r w:rsidRPr="00A61C07">
              <w:rPr>
                <w:sz w:val="22"/>
                <w:szCs w:val="22"/>
                <w:lang w:eastAsia="lt-LT"/>
              </w:rPr>
              <w:t>37500</w:t>
            </w:r>
          </w:p>
        </w:tc>
        <w:tc>
          <w:tcPr>
            <w:tcW w:w="597" w:type="pct"/>
            <w:tcBorders>
              <w:top w:val="nil"/>
              <w:left w:val="nil"/>
              <w:bottom w:val="single" w:sz="4" w:space="0" w:color="auto"/>
              <w:right w:val="single" w:sz="4" w:space="0" w:color="auto"/>
            </w:tcBorders>
            <w:shd w:val="clear" w:color="auto" w:fill="auto"/>
            <w:noWrap/>
            <w:vAlign w:val="center"/>
            <w:hideMark/>
          </w:tcPr>
          <w:p w14:paraId="1446D1C8" w14:textId="77777777" w:rsidR="00A61C07" w:rsidRPr="00A61C07" w:rsidRDefault="00A61C07" w:rsidP="00A61C07">
            <w:pPr>
              <w:ind w:firstLine="0"/>
              <w:jc w:val="center"/>
              <w:rPr>
                <w:sz w:val="22"/>
                <w:szCs w:val="22"/>
                <w:lang w:eastAsia="lt-LT"/>
              </w:rPr>
            </w:pPr>
            <w:r w:rsidRPr="00A61C07">
              <w:rPr>
                <w:sz w:val="22"/>
                <w:szCs w:val="22"/>
                <w:lang w:eastAsia="lt-LT"/>
              </w:rPr>
              <w:t>192300</w:t>
            </w:r>
          </w:p>
        </w:tc>
      </w:tr>
      <w:tr w:rsidR="00A61C07" w:rsidRPr="00A61C07" w14:paraId="1E544028" w14:textId="77777777" w:rsidTr="00084E5E">
        <w:trPr>
          <w:trHeight w:val="73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118A97F" w14:textId="77777777" w:rsidR="00A61C07" w:rsidRPr="00A61C07" w:rsidRDefault="00A61C07" w:rsidP="00A61C07">
            <w:pPr>
              <w:ind w:firstLine="0"/>
              <w:jc w:val="left"/>
              <w:rPr>
                <w:sz w:val="22"/>
                <w:szCs w:val="22"/>
                <w:lang w:eastAsia="lt-LT"/>
              </w:rPr>
            </w:pPr>
            <w:r w:rsidRPr="00A61C07">
              <w:rPr>
                <w:sz w:val="22"/>
                <w:szCs w:val="22"/>
                <w:lang w:eastAsia="lt-LT"/>
              </w:rPr>
              <w:t>Valstybei nuosavybės teise priklausančių melioracijos ir hidrotechnikos statinių valdymui ir naudojimui patikėjimo teise užtikrinti</w:t>
            </w:r>
          </w:p>
        </w:tc>
        <w:tc>
          <w:tcPr>
            <w:tcW w:w="682" w:type="pct"/>
            <w:tcBorders>
              <w:top w:val="nil"/>
              <w:left w:val="nil"/>
              <w:bottom w:val="single" w:sz="4" w:space="0" w:color="auto"/>
              <w:right w:val="single" w:sz="4" w:space="0" w:color="auto"/>
            </w:tcBorders>
            <w:shd w:val="clear" w:color="auto" w:fill="auto"/>
            <w:noWrap/>
            <w:vAlign w:val="center"/>
            <w:hideMark/>
          </w:tcPr>
          <w:p w14:paraId="5A2B6180" w14:textId="77777777" w:rsidR="00A61C07" w:rsidRPr="00A61C07" w:rsidRDefault="00A61C07" w:rsidP="00A61C07">
            <w:pPr>
              <w:ind w:firstLine="0"/>
              <w:jc w:val="center"/>
              <w:rPr>
                <w:sz w:val="22"/>
                <w:szCs w:val="22"/>
                <w:lang w:eastAsia="lt-LT"/>
              </w:rPr>
            </w:pPr>
            <w:r w:rsidRPr="00A61C07">
              <w:rPr>
                <w:sz w:val="22"/>
                <w:szCs w:val="22"/>
                <w:lang w:eastAsia="lt-LT"/>
              </w:rPr>
              <w:t>201000</w:t>
            </w:r>
          </w:p>
        </w:tc>
        <w:tc>
          <w:tcPr>
            <w:tcW w:w="683" w:type="pct"/>
            <w:tcBorders>
              <w:top w:val="nil"/>
              <w:left w:val="nil"/>
              <w:bottom w:val="single" w:sz="4" w:space="0" w:color="auto"/>
              <w:right w:val="single" w:sz="4" w:space="0" w:color="auto"/>
            </w:tcBorders>
            <w:shd w:val="clear" w:color="auto" w:fill="auto"/>
            <w:noWrap/>
            <w:vAlign w:val="center"/>
            <w:hideMark/>
          </w:tcPr>
          <w:p w14:paraId="4D4848C9" w14:textId="77777777" w:rsidR="00A61C07" w:rsidRPr="00A61C07" w:rsidRDefault="00A61C07" w:rsidP="00A61C07">
            <w:pPr>
              <w:ind w:firstLine="0"/>
              <w:jc w:val="center"/>
              <w:rPr>
                <w:sz w:val="22"/>
                <w:szCs w:val="22"/>
                <w:lang w:eastAsia="lt-LT"/>
              </w:rPr>
            </w:pPr>
            <w:r w:rsidRPr="00A61C07">
              <w:rPr>
                <w:sz w:val="22"/>
                <w:szCs w:val="22"/>
                <w:lang w:eastAsia="lt-LT"/>
              </w:rPr>
              <w:t>1000</w:t>
            </w:r>
          </w:p>
        </w:tc>
        <w:tc>
          <w:tcPr>
            <w:tcW w:w="597" w:type="pct"/>
            <w:tcBorders>
              <w:top w:val="nil"/>
              <w:left w:val="nil"/>
              <w:bottom w:val="single" w:sz="4" w:space="0" w:color="auto"/>
              <w:right w:val="single" w:sz="4" w:space="0" w:color="auto"/>
            </w:tcBorders>
            <w:shd w:val="clear" w:color="auto" w:fill="auto"/>
            <w:noWrap/>
            <w:vAlign w:val="center"/>
            <w:hideMark/>
          </w:tcPr>
          <w:p w14:paraId="691D2653" w14:textId="77777777" w:rsidR="00A61C07" w:rsidRPr="00A61C07" w:rsidRDefault="00A61C07" w:rsidP="00A61C07">
            <w:pPr>
              <w:ind w:firstLine="0"/>
              <w:jc w:val="center"/>
              <w:rPr>
                <w:sz w:val="22"/>
                <w:szCs w:val="22"/>
                <w:lang w:eastAsia="lt-LT"/>
              </w:rPr>
            </w:pPr>
            <w:r w:rsidRPr="00A61C07">
              <w:rPr>
                <w:sz w:val="22"/>
                <w:szCs w:val="22"/>
                <w:lang w:eastAsia="lt-LT"/>
              </w:rPr>
              <w:t>202000</w:t>
            </w:r>
          </w:p>
        </w:tc>
      </w:tr>
      <w:tr w:rsidR="00A61C07" w:rsidRPr="00A61C07" w14:paraId="1594C902"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bottom"/>
            <w:hideMark/>
          </w:tcPr>
          <w:p w14:paraId="212DF7A1" w14:textId="77777777" w:rsidR="00A61C07" w:rsidRPr="00A61C07" w:rsidRDefault="00A61C07" w:rsidP="00A61C07">
            <w:pPr>
              <w:ind w:firstLine="0"/>
              <w:jc w:val="left"/>
              <w:rPr>
                <w:sz w:val="22"/>
                <w:szCs w:val="22"/>
                <w:lang w:eastAsia="lt-LT"/>
              </w:rPr>
            </w:pPr>
            <w:r w:rsidRPr="00A61C07">
              <w:rPr>
                <w:sz w:val="22"/>
                <w:szCs w:val="22"/>
                <w:lang w:eastAsia="lt-LT"/>
              </w:rPr>
              <w:t>Savivaldybės erdvinių duomenų rinkinio tvarkymo funkcijai atlikti</w:t>
            </w:r>
          </w:p>
        </w:tc>
        <w:tc>
          <w:tcPr>
            <w:tcW w:w="682" w:type="pct"/>
            <w:tcBorders>
              <w:top w:val="nil"/>
              <w:left w:val="nil"/>
              <w:bottom w:val="single" w:sz="4" w:space="0" w:color="auto"/>
              <w:right w:val="single" w:sz="4" w:space="0" w:color="auto"/>
            </w:tcBorders>
            <w:shd w:val="clear" w:color="auto" w:fill="auto"/>
            <w:noWrap/>
            <w:vAlign w:val="center"/>
            <w:hideMark/>
          </w:tcPr>
          <w:p w14:paraId="7B819EB2" w14:textId="77777777" w:rsidR="00A61C07" w:rsidRPr="00A61C07" w:rsidRDefault="00A61C07" w:rsidP="00A61C07">
            <w:pPr>
              <w:ind w:firstLine="0"/>
              <w:jc w:val="center"/>
              <w:rPr>
                <w:sz w:val="22"/>
                <w:szCs w:val="22"/>
                <w:lang w:eastAsia="lt-LT"/>
              </w:rPr>
            </w:pPr>
            <w:r w:rsidRPr="00A61C07">
              <w:rPr>
                <w:sz w:val="22"/>
                <w:szCs w:val="22"/>
                <w:lang w:eastAsia="lt-LT"/>
              </w:rPr>
              <w:t>4524</w:t>
            </w:r>
          </w:p>
        </w:tc>
        <w:tc>
          <w:tcPr>
            <w:tcW w:w="683" w:type="pct"/>
            <w:tcBorders>
              <w:top w:val="nil"/>
              <w:left w:val="nil"/>
              <w:bottom w:val="single" w:sz="4" w:space="0" w:color="auto"/>
              <w:right w:val="single" w:sz="4" w:space="0" w:color="auto"/>
            </w:tcBorders>
            <w:shd w:val="clear" w:color="auto" w:fill="auto"/>
            <w:noWrap/>
            <w:vAlign w:val="center"/>
            <w:hideMark/>
          </w:tcPr>
          <w:p w14:paraId="36B2103F" w14:textId="77777777" w:rsidR="00A61C07" w:rsidRPr="00A61C07" w:rsidRDefault="00A61C07" w:rsidP="00A61C07">
            <w:pPr>
              <w:ind w:firstLine="0"/>
              <w:jc w:val="center"/>
              <w:rPr>
                <w:sz w:val="22"/>
                <w:szCs w:val="22"/>
                <w:lang w:eastAsia="lt-LT"/>
              </w:rPr>
            </w:pPr>
            <w:r w:rsidRPr="00A61C07">
              <w:rPr>
                <w:sz w:val="22"/>
                <w:szCs w:val="22"/>
                <w:lang w:eastAsia="lt-LT"/>
              </w:rPr>
              <w:t>636</w:t>
            </w:r>
          </w:p>
        </w:tc>
        <w:tc>
          <w:tcPr>
            <w:tcW w:w="597" w:type="pct"/>
            <w:tcBorders>
              <w:top w:val="nil"/>
              <w:left w:val="nil"/>
              <w:bottom w:val="single" w:sz="4" w:space="0" w:color="auto"/>
              <w:right w:val="single" w:sz="4" w:space="0" w:color="auto"/>
            </w:tcBorders>
            <w:shd w:val="clear" w:color="auto" w:fill="auto"/>
            <w:noWrap/>
            <w:vAlign w:val="center"/>
            <w:hideMark/>
          </w:tcPr>
          <w:p w14:paraId="682604D8" w14:textId="77777777" w:rsidR="00A61C07" w:rsidRPr="00A61C07" w:rsidRDefault="00A61C07" w:rsidP="00A61C07">
            <w:pPr>
              <w:ind w:firstLine="0"/>
              <w:jc w:val="center"/>
              <w:rPr>
                <w:sz w:val="22"/>
                <w:szCs w:val="22"/>
                <w:lang w:eastAsia="lt-LT"/>
              </w:rPr>
            </w:pPr>
            <w:r w:rsidRPr="00A61C07">
              <w:rPr>
                <w:sz w:val="22"/>
                <w:szCs w:val="22"/>
                <w:lang w:eastAsia="lt-LT"/>
              </w:rPr>
              <w:t>5160</w:t>
            </w:r>
          </w:p>
        </w:tc>
      </w:tr>
      <w:tr w:rsidR="00A61C07" w:rsidRPr="00A61C07" w14:paraId="04399750"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07F012D8" w14:textId="77777777" w:rsidR="00A61C07" w:rsidRPr="00A61C07" w:rsidRDefault="00A61C07" w:rsidP="00A61C07">
            <w:pPr>
              <w:ind w:firstLine="0"/>
              <w:jc w:val="left"/>
              <w:rPr>
                <w:sz w:val="22"/>
                <w:szCs w:val="22"/>
                <w:lang w:eastAsia="lt-LT"/>
              </w:rPr>
            </w:pPr>
            <w:r w:rsidRPr="00A61C07">
              <w:rPr>
                <w:sz w:val="22"/>
                <w:szCs w:val="22"/>
                <w:lang w:eastAsia="lt-LT"/>
              </w:rPr>
              <w:t>Valstybės garantuojamai pirminei teisinei pagalbai teikti</w:t>
            </w:r>
          </w:p>
        </w:tc>
        <w:tc>
          <w:tcPr>
            <w:tcW w:w="682" w:type="pct"/>
            <w:tcBorders>
              <w:top w:val="nil"/>
              <w:left w:val="nil"/>
              <w:bottom w:val="single" w:sz="4" w:space="0" w:color="auto"/>
              <w:right w:val="single" w:sz="4" w:space="0" w:color="auto"/>
            </w:tcBorders>
            <w:shd w:val="clear" w:color="auto" w:fill="auto"/>
            <w:noWrap/>
            <w:vAlign w:val="center"/>
            <w:hideMark/>
          </w:tcPr>
          <w:p w14:paraId="200F9607" w14:textId="77777777" w:rsidR="00A61C07" w:rsidRPr="00A61C07" w:rsidRDefault="00A61C07" w:rsidP="00A61C07">
            <w:pPr>
              <w:ind w:firstLine="0"/>
              <w:jc w:val="center"/>
              <w:rPr>
                <w:sz w:val="22"/>
                <w:szCs w:val="22"/>
                <w:lang w:eastAsia="lt-LT"/>
              </w:rPr>
            </w:pPr>
            <w:r w:rsidRPr="00A61C07">
              <w:rPr>
                <w:sz w:val="22"/>
                <w:szCs w:val="22"/>
                <w:lang w:eastAsia="lt-LT"/>
              </w:rPr>
              <w:t>6600</w:t>
            </w:r>
          </w:p>
        </w:tc>
        <w:tc>
          <w:tcPr>
            <w:tcW w:w="683" w:type="pct"/>
            <w:tcBorders>
              <w:top w:val="nil"/>
              <w:left w:val="nil"/>
              <w:bottom w:val="single" w:sz="4" w:space="0" w:color="auto"/>
              <w:right w:val="single" w:sz="4" w:space="0" w:color="auto"/>
            </w:tcBorders>
            <w:shd w:val="clear" w:color="auto" w:fill="auto"/>
            <w:noWrap/>
            <w:vAlign w:val="center"/>
            <w:hideMark/>
          </w:tcPr>
          <w:p w14:paraId="10FB4ECE" w14:textId="77777777" w:rsidR="00A61C07" w:rsidRPr="00A61C07" w:rsidRDefault="00A61C07" w:rsidP="00A61C07">
            <w:pPr>
              <w:ind w:firstLine="0"/>
              <w:jc w:val="center"/>
              <w:rPr>
                <w:sz w:val="22"/>
                <w:szCs w:val="22"/>
                <w:lang w:eastAsia="lt-LT"/>
              </w:rPr>
            </w:pPr>
            <w:r w:rsidRPr="00A61C07">
              <w:rPr>
                <w:sz w:val="22"/>
                <w:szCs w:val="22"/>
                <w:lang w:eastAsia="lt-LT"/>
              </w:rPr>
              <w:t>-400</w:t>
            </w:r>
          </w:p>
        </w:tc>
        <w:tc>
          <w:tcPr>
            <w:tcW w:w="597" w:type="pct"/>
            <w:tcBorders>
              <w:top w:val="nil"/>
              <w:left w:val="nil"/>
              <w:bottom w:val="single" w:sz="4" w:space="0" w:color="auto"/>
              <w:right w:val="single" w:sz="4" w:space="0" w:color="auto"/>
            </w:tcBorders>
            <w:shd w:val="clear" w:color="auto" w:fill="auto"/>
            <w:noWrap/>
            <w:vAlign w:val="center"/>
            <w:hideMark/>
          </w:tcPr>
          <w:p w14:paraId="140AFA86" w14:textId="77777777" w:rsidR="00A61C07" w:rsidRPr="00A61C07" w:rsidRDefault="00A61C07" w:rsidP="00A61C07">
            <w:pPr>
              <w:ind w:firstLine="0"/>
              <w:jc w:val="center"/>
              <w:rPr>
                <w:sz w:val="22"/>
                <w:szCs w:val="22"/>
                <w:lang w:eastAsia="lt-LT"/>
              </w:rPr>
            </w:pPr>
            <w:r w:rsidRPr="00A61C07">
              <w:rPr>
                <w:sz w:val="22"/>
                <w:szCs w:val="22"/>
                <w:lang w:eastAsia="lt-LT"/>
              </w:rPr>
              <w:t>6200</w:t>
            </w:r>
          </w:p>
        </w:tc>
      </w:tr>
      <w:tr w:rsidR="00A61C07" w:rsidRPr="00A61C07" w14:paraId="43E71D97"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306E871E" w14:textId="77777777" w:rsidR="00A61C07" w:rsidRPr="00A61C07" w:rsidRDefault="00A61C07" w:rsidP="00A61C07">
            <w:pPr>
              <w:ind w:firstLine="0"/>
              <w:jc w:val="left"/>
              <w:rPr>
                <w:sz w:val="22"/>
                <w:szCs w:val="22"/>
                <w:lang w:eastAsia="lt-LT"/>
              </w:rPr>
            </w:pPr>
            <w:r w:rsidRPr="00A61C07">
              <w:rPr>
                <w:sz w:val="22"/>
                <w:szCs w:val="22"/>
                <w:lang w:eastAsia="lt-LT"/>
              </w:rPr>
              <w:t>Civilinės būklės aktams registruoti</w:t>
            </w:r>
          </w:p>
        </w:tc>
        <w:tc>
          <w:tcPr>
            <w:tcW w:w="682" w:type="pct"/>
            <w:tcBorders>
              <w:top w:val="nil"/>
              <w:left w:val="nil"/>
              <w:bottom w:val="single" w:sz="4" w:space="0" w:color="auto"/>
              <w:right w:val="single" w:sz="4" w:space="0" w:color="auto"/>
            </w:tcBorders>
            <w:shd w:val="clear" w:color="auto" w:fill="auto"/>
            <w:noWrap/>
            <w:vAlign w:val="center"/>
            <w:hideMark/>
          </w:tcPr>
          <w:p w14:paraId="1B426670" w14:textId="77777777" w:rsidR="00A61C07" w:rsidRPr="00A61C07" w:rsidRDefault="00A61C07" w:rsidP="00A61C07">
            <w:pPr>
              <w:ind w:firstLine="0"/>
              <w:jc w:val="center"/>
              <w:rPr>
                <w:sz w:val="22"/>
                <w:szCs w:val="22"/>
                <w:lang w:eastAsia="lt-LT"/>
              </w:rPr>
            </w:pPr>
            <w:r w:rsidRPr="00A61C07">
              <w:rPr>
                <w:sz w:val="22"/>
                <w:szCs w:val="22"/>
                <w:lang w:eastAsia="lt-LT"/>
              </w:rPr>
              <w:t>21900</w:t>
            </w:r>
          </w:p>
        </w:tc>
        <w:tc>
          <w:tcPr>
            <w:tcW w:w="683" w:type="pct"/>
            <w:tcBorders>
              <w:top w:val="nil"/>
              <w:left w:val="nil"/>
              <w:bottom w:val="single" w:sz="4" w:space="0" w:color="auto"/>
              <w:right w:val="single" w:sz="4" w:space="0" w:color="auto"/>
            </w:tcBorders>
            <w:shd w:val="clear" w:color="auto" w:fill="auto"/>
            <w:noWrap/>
            <w:vAlign w:val="center"/>
            <w:hideMark/>
          </w:tcPr>
          <w:p w14:paraId="5D6096AD" w14:textId="77777777" w:rsidR="00A61C07" w:rsidRPr="00A61C07" w:rsidRDefault="00A61C07" w:rsidP="00A61C07">
            <w:pPr>
              <w:ind w:firstLine="0"/>
              <w:jc w:val="center"/>
              <w:rPr>
                <w:sz w:val="22"/>
                <w:szCs w:val="22"/>
                <w:lang w:eastAsia="lt-LT"/>
              </w:rPr>
            </w:pPr>
            <w:r w:rsidRPr="00A61C07">
              <w:rPr>
                <w:sz w:val="22"/>
                <w:szCs w:val="22"/>
                <w:lang w:eastAsia="lt-LT"/>
              </w:rPr>
              <w:t>-600</w:t>
            </w:r>
          </w:p>
        </w:tc>
        <w:tc>
          <w:tcPr>
            <w:tcW w:w="597" w:type="pct"/>
            <w:tcBorders>
              <w:top w:val="nil"/>
              <w:left w:val="nil"/>
              <w:bottom w:val="single" w:sz="4" w:space="0" w:color="auto"/>
              <w:right w:val="single" w:sz="4" w:space="0" w:color="auto"/>
            </w:tcBorders>
            <w:shd w:val="clear" w:color="auto" w:fill="auto"/>
            <w:noWrap/>
            <w:vAlign w:val="center"/>
            <w:hideMark/>
          </w:tcPr>
          <w:p w14:paraId="5D814955" w14:textId="77777777" w:rsidR="00A61C07" w:rsidRPr="00A61C07" w:rsidRDefault="00A61C07" w:rsidP="00A61C07">
            <w:pPr>
              <w:ind w:firstLine="0"/>
              <w:jc w:val="center"/>
              <w:rPr>
                <w:sz w:val="22"/>
                <w:szCs w:val="22"/>
                <w:lang w:eastAsia="lt-LT"/>
              </w:rPr>
            </w:pPr>
            <w:r w:rsidRPr="00A61C07">
              <w:rPr>
                <w:sz w:val="22"/>
                <w:szCs w:val="22"/>
                <w:lang w:eastAsia="lt-LT"/>
              </w:rPr>
              <w:t>21300</w:t>
            </w:r>
          </w:p>
        </w:tc>
      </w:tr>
      <w:tr w:rsidR="00A61C07" w:rsidRPr="00A61C07" w14:paraId="13B84704"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4671049" w14:textId="77777777" w:rsidR="00A61C07" w:rsidRPr="00A61C07" w:rsidRDefault="00A61C07" w:rsidP="00A61C07">
            <w:pPr>
              <w:ind w:firstLine="0"/>
              <w:jc w:val="left"/>
              <w:rPr>
                <w:sz w:val="22"/>
                <w:szCs w:val="22"/>
                <w:lang w:eastAsia="lt-LT"/>
              </w:rPr>
            </w:pPr>
            <w:r w:rsidRPr="00A61C07">
              <w:rPr>
                <w:sz w:val="22"/>
                <w:szCs w:val="22"/>
                <w:lang w:eastAsia="lt-LT"/>
              </w:rPr>
              <w:t>Valstybinės kalbos vartojimo ir taisyklingumo kontrolei</w:t>
            </w:r>
          </w:p>
        </w:tc>
        <w:tc>
          <w:tcPr>
            <w:tcW w:w="682" w:type="pct"/>
            <w:tcBorders>
              <w:top w:val="nil"/>
              <w:left w:val="nil"/>
              <w:bottom w:val="single" w:sz="4" w:space="0" w:color="auto"/>
              <w:right w:val="single" w:sz="4" w:space="0" w:color="auto"/>
            </w:tcBorders>
            <w:shd w:val="clear" w:color="auto" w:fill="auto"/>
            <w:noWrap/>
            <w:vAlign w:val="center"/>
            <w:hideMark/>
          </w:tcPr>
          <w:p w14:paraId="50E87F9C" w14:textId="77777777" w:rsidR="00A61C07" w:rsidRPr="00A61C07" w:rsidRDefault="00A61C07" w:rsidP="00A61C07">
            <w:pPr>
              <w:ind w:firstLine="0"/>
              <w:jc w:val="center"/>
              <w:rPr>
                <w:sz w:val="22"/>
                <w:szCs w:val="22"/>
                <w:lang w:eastAsia="lt-LT"/>
              </w:rPr>
            </w:pPr>
            <w:r w:rsidRPr="00A61C07">
              <w:rPr>
                <w:sz w:val="22"/>
                <w:szCs w:val="22"/>
                <w:lang w:eastAsia="lt-LT"/>
              </w:rPr>
              <w:t>8500</w:t>
            </w:r>
          </w:p>
        </w:tc>
        <w:tc>
          <w:tcPr>
            <w:tcW w:w="683" w:type="pct"/>
            <w:tcBorders>
              <w:top w:val="nil"/>
              <w:left w:val="nil"/>
              <w:bottom w:val="single" w:sz="4" w:space="0" w:color="auto"/>
              <w:right w:val="single" w:sz="4" w:space="0" w:color="auto"/>
            </w:tcBorders>
            <w:shd w:val="clear" w:color="auto" w:fill="auto"/>
            <w:noWrap/>
            <w:vAlign w:val="center"/>
            <w:hideMark/>
          </w:tcPr>
          <w:p w14:paraId="02745B44" w14:textId="77777777" w:rsidR="00A61C07" w:rsidRPr="00A61C07" w:rsidRDefault="00A61C07" w:rsidP="00A61C07">
            <w:pPr>
              <w:ind w:firstLine="0"/>
              <w:jc w:val="center"/>
              <w:rPr>
                <w:sz w:val="22"/>
                <w:szCs w:val="22"/>
                <w:lang w:eastAsia="lt-LT"/>
              </w:rPr>
            </w:pPr>
            <w:r w:rsidRPr="00A61C07">
              <w:rPr>
                <w:sz w:val="22"/>
                <w:szCs w:val="22"/>
                <w:lang w:eastAsia="lt-LT"/>
              </w:rPr>
              <w:t>500</w:t>
            </w:r>
          </w:p>
        </w:tc>
        <w:tc>
          <w:tcPr>
            <w:tcW w:w="597" w:type="pct"/>
            <w:tcBorders>
              <w:top w:val="nil"/>
              <w:left w:val="nil"/>
              <w:bottom w:val="single" w:sz="4" w:space="0" w:color="auto"/>
              <w:right w:val="single" w:sz="4" w:space="0" w:color="auto"/>
            </w:tcBorders>
            <w:shd w:val="clear" w:color="auto" w:fill="auto"/>
            <w:noWrap/>
            <w:vAlign w:val="center"/>
            <w:hideMark/>
          </w:tcPr>
          <w:p w14:paraId="44DE0024" w14:textId="77777777" w:rsidR="00A61C07" w:rsidRPr="00A61C07" w:rsidRDefault="00A61C07" w:rsidP="00A61C07">
            <w:pPr>
              <w:ind w:firstLine="0"/>
              <w:jc w:val="center"/>
              <w:rPr>
                <w:sz w:val="22"/>
                <w:szCs w:val="22"/>
                <w:lang w:eastAsia="lt-LT"/>
              </w:rPr>
            </w:pPr>
            <w:r w:rsidRPr="00A61C07">
              <w:rPr>
                <w:sz w:val="22"/>
                <w:szCs w:val="22"/>
                <w:lang w:eastAsia="lt-LT"/>
              </w:rPr>
              <w:t>9000</w:t>
            </w:r>
          </w:p>
        </w:tc>
      </w:tr>
      <w:tr w:rsidR="00A61C07" w:rsidRPr="00A61C07" w14:paraId="59E348BD"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F891815" w14:textId="77777777" w:rsidR="00A61C07" w:rsidRPr="00A61C07" w:rsidRDefault="00A61C07" w:rsidP="00A61C07">
            <w:pPr>
              <w:ind w:firstLine="0"/>
              <w:jc w:val="left"/>
              <w:rPr>
                <w:sz w:val="22"/>
                <w:szCs w:val="22"/>
                <w:lang w:eastAsia="lt-LT"/>
              </w:rPr>
            </w:pPr>
            <w:r w:rsidRPr="00A61C07">
              <w:rPr>
                <w:sz w:val="22"/>
                <w:szCs w:val="22"/>
                <w:lang w:eastAsia="lt-LT"/>
              </w:rPr>
              <w:t>Savivaldybėms priskirtiems archyviniams dokumentams tvarkyti</w:t>
            </w:r>
          </w:p>
        </w:tc>
        <w:tc>
          <w:tcPr>
            <w:tcW w:w="682" w:type="pct"/>
            <w:tcBorders>
              <w:top w:val="nil"/>
              <w:left w:val="nil"/>
              <w:bottom w:val="single" w:sz="4" w:space="0" w:color="auto"/>
              <w:right w:val="single" w:sz="4" w:space="0" w:color="auto"/>
            </w:tcBorders>
            <w:shd w:val="clear" w:color="auto" w:fill="auto"/>
            <w:noWrap/>
            <w:vAlign w:val="center"/>
            <w:hideMark/>
          </w:tcPr>
          <w:p w14:paraId="696D96DF" w14:textId="77777777" w:rsidR="00A61C07" w:rsidRPr="00A61C07" w:rsidRDefault="00A61C07" w:rsidP="00A61C07">
            <w:pPr>
              <w:ind w:firstLine="0"/>
              <w:jc w:val="center"/>
              <w:rPr>
                <w:sz w:val="22"/>
                <w:szCs w:val="22"/>
                <w:lang w:eastAsia="lt-LT"/>
              </w:rPr>
            </w:pPr>
            <w:r w:rsidRPr="00A61C07">
              <w:rPr>
                <w:sz w:val="22"/>
                <w:szCs w:val="22"/>
                <w:lang w:eastAsia="lt-LT"/>
              </w:rPr>
              <w:t>29500</w:t>
            </w:r>
          </w:p>
        </w:tc>
        <w:tc>
          <w:tcPr>
            <w:tcW w:w="683" w:type="pct"/>
            <w:tcBorders>
              <w:top w:val="nil"/>
              <w:left w:val="nil"/>
              <w:bottom w:val="single" w:sz="4" w:space="0" w:color="auto"/>
              <w:right w:val="single" w:sz="4" w:space="0" w:color="auto"/>
            </w:tcBorders>
            <w:shd w:val="clear" w:color="auto" w:fill="auto"/>
            <w:noWrap/>
            <w:vAlign w:val="center"/>
            <w:hideMark/>
          </w:tcPr>
          <w:p w14:paraId="2C41E086" w14:textId="77777777" w:rsidR="00A61C07" w:rsidRPr="00A61C07" w:rsidRDefault="00A61C07" w:rsidP="00A61C07">
            <w:pPr>
              <w:ind w:firstLine="0"/>
              <w:jc w:val="center"/>
              <w:rPr>
                <w:sz w:val="22"/>
                <w:szCs w:val="22"/>
                <w:lang w:eastAsia="lt-LT"/>
              </w:rPr>
            </w:pPr>
            <w:r w:rsidRPr="00A61C07">
              <w:rPr>
                <w:sz w:val="22"/>
                <w:szCs w:val="22"/>
                <w:lang w:eastAsia="lt-LT"/>
              </w:rPr>
              <w:t>800</w:t>
            </w:r>
          </w:p>
        </w:tc>
        <w:tc>
          <w:tcPr>
            <w:tcW w:w="597" w:type="pct"/>
            <w:tcBorders>
              <w:top w:val="nil"/>
              <w:left w:val="nil"/>
              <w:bottom w:val="single" w:sz="4" w:space="0" w:color="auto"/>
              <w:right w:val="single" w:sz="4" w:space="0" w:color="auto"/>
            </w:tcBorders>
            <w:shd w:val="clear" w:color="auto" w:fill="auto"/>
            <w:noWrap/>
            <w:vAlign w:val="center"/>
            <w:hideMark/>
          </w:tcPr>
          <w:p w14:paraId="764F43A7" w14:textId="77777777" w:rsidR="00A61C07" w:rsidRPr="00A61C07" w:rsidRDefault="00A61C07" w:rsidP="00A61C07">
            <w:pPr>
              <w:ind w:firstLine="0"/>
              <w:jc w:val="center"/>
              <w:rPr>
                <w:sz w:val="22"/>
                <w:szCs w:val="22"/>
                <w:lang w:eastAsia="lt-LT"/>
              </w:rPr>
            </w:pPr>
            <w:r w:rsidRPr="00A61C07">
              <w:rPr>
                <w:sz w:val="22"/>
                <w:szCs w:val="22"/>
                <w:lang w:eastAsia="lt-LT"/>
              </w:rPr>
              <w:t>30300</w:t>
            </w:r>
          </w:p>
        </w:tc>
      </w:tr>
      <w:tr w:rsidR="00A61C07" w:rsidRPr="00A61C07" w14:paraId="4056C435" w14:textId="77777777" w:rsidTr="00084E5E">
        <w:trPr>
          <w:trHeight w:val="66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F6A6A3A" w14:textId="77777777" w:rsidR="00A61C07" w:rsidRPr="00A61C07" w:rsidRDefault="00A61C07" w:rsidP="00A61C07">
            <w:pPr>
              <w:ind w:firstLine="0"/>
              <w:jc w:val="left"/>
              <w:rPr>
                <w:sz w:val="22"/>
                <w:szCs w:val="22"/>
                <w:lang w:eastAsia="lt-LT"/>
              </w:rPr>
            </w:pPr>
            <w:r w:rsidRPr="00A61C07">
              <w:rPr>
                <w:sz w:val="22"/>
                <w:szCs w:val="22"/>
                <w:lang w:eastAsia="lt-LT"/>
              </w:rPr>
              <w:t>Duomenims į Suteiktos valstybės pagalbos ir nereikšmingos pagalbos registrą teikti</w:t>
            </w:r>
          </w:p>
        </w:tc>
        <w:tc>
          <w:tcPr>
            <w:tcW w:w="682" w:type="pct"/>
            <w:tcBorders>
              <w:top w:val="nil"/>
              <w:left w:val="nil"/>
              <w:bottom w:val="single" w:sz="4" w:space="0" w:color="auto"/>
              <w:right w:val="single" w:sz="4" w:space="0" w:color="auto"/>
            </w:tcBorders>
            <w:shd w:val="clear" w:color="auto" w:fill="auto"/>
            <w:noWrap/>
            <w:vAlign w:val="center"/>
            <w:hideMark/>
          </w:tcPr>
          <w:p w14:paraId="307A1EAB" w14:textId="77777777" w:rsidR="00A61C07" w:rsidRPr="00A61C07" w:rsidRDefault="00A61C07" w:rsidP="00A61C07">
            <w:pPr>
              <w:ind w:firstLine="0"/>
              <w:jc w:val="center"/>
              <w:rPr>
                <w:sz w:val="22"/>
                <w:szCs w:val="22"/>
                <w:lang w:eastAsia="lt-LT"/>
              </w:rPr>
            </w:pPr>
            <w:r w:rsidRPr="00A61C07">
              <w:rPr>
                <w:sz w:val="22"/>
                <w:szCs w:val="22"/>
                <w:lang w:eastAsia="lt-LT"/>
              </w:rPr>
              <w:t>400</w:t>
            </w:r>
          </w:p>
        </w:tc>
        <w:tc>
          <w:tcPr>
            <w:tcW w:w="683" w:type="pct"/>
            <w:tcBorders>
              <w:top w:val="nil"/>
              <w:left w:val="nil"/>
              <w:bottom w:val="single" w:sz="4" w:space="0" w:color="auto"/>
              <w:right w:val="single" w:sz="4" w:space="0" w:color="auto"/>
            </w:tcBorders>
            <w:shd w:val="clear" w:color="auto" w:fill="auto"/>
            <w:noWrap/>
            <w:vAlign w:val="center"/>
            <w:hideMark/>
          </w:tcPr>
          <w:p w14:paraId="57F759AA" w14:textId="77777777" w:rsidR="00A61C07" w:rsidRPr="00A61C07" w:rsidRDefault="00A61C07" w:rsidP="00A61C07">
            <w:pPr>
              <w:ind w:firstLine="0"/>
              <w:jc w:val="center"/>
              <w:rPr>
                <w:sz w:val="22"/>
                <w:szCs w:val="22"/>
                <w:lang w:eastAsia="lt-LT"/>
              </w:rPr>
            </w:pPr>
            <w:r w:rsidRPr="00A61C07">
              <w:rPr>
                <w:sz w:val="22"/>
                <w:szCs w:val="22"/>
                <w:lang w:eastAsia="lt-LT"/>
              </w:rPr>
              <w:t>200</w:t>
            </w:r>
          </w:p>
        </w:tc>
        <w:tc>
          <w:tcPr>
            <w:tcW w:w="597" w:type="pct"/>
            <w:tcBorders>
              <w:top w:val="nil"/>
              <w:left w:val="nil"/>
              <w:bottom w:val="single" w:sz="4" w:space="0" w:color="auto"/>
              <w:right w:val="single" w:sz="4" w:space="0" w:color="auto"/>
            </w:tcBorders>
            <w:shd w:val="clear" w:color="auto" w:fill="auto"/>
            <w:noWrap/>
            <w:vAlign w:val="center"/>
            <w:hideMark/>
          </w:tcPr>
          <w:p w14:paraId="4737BCE7" w14:textId="77777777" w:rsidR="00A61C07" w:rsidRPr="00A61C07" w:rsidRDefault="00A61C07" w:rsidP="00A61C07">
            <w:pPr>
              <w:ind w:firstLine="0"/>
              <w:jc w:val="center"/>
              <w:rPr>
                <w:sz w:val="22"/>
                <w:szCs w:val="22"/>
                <w:lang w:eastAsia="lt-LT"/>
              </w:rPr>
            </w:pPr>
            <w:r w:rsidRPr="00A61C07">
              <w:rPr>
                <w:sz w:val="22"/>
                <w:szCs w:val="22"/>
                <w:lang w:eastAsia="lt-LT"/>
              </w:rPr>
              <w:t>600</w:t>
            </w:r>
          </w:p>
        </w:tc>
      </w:tr>
      <w:tr w:rsidR="00A61C07" w:rsidRPr="00A61C07" w14:paraId="27B3390C" w14:textId="77777777" w:rsidTr="00084E5E">
        <w:trPr>
          <w:trHeight w:val="108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5BB1FA5F" w14:textId="77777777" w:rsidR="00A61C07" w:rsidRPr="00A61C07" w:rsidRDefault="00A61C07" w:rsidP="00A61C07">
            <w:pPr>
              <w:ind w:firstLine="0"/>
              <w:jc w:val="left"/>
              <w:rPr>
                <w:sz w:val="22"/>
                <w:szCs w:val="22"/>
                <w:lang w:eastAsia="lt-LT"/>
              </w:rPr>
            </w:pPr>
            <w:r w:rsidRPr="00A61C07">
              <w:rPr>
                <w:sz w:val="22"/>
                <w:szCs w:val="22"/>
                <w:lang w:eastAsia="lt-LT"/>
              </w:rPr>
              <w:t>Koordinuotai teikiamų paslaugų vaikams nuo gimimo iki 18 metų (turintiems didelių ir labai didelių specialiųjų ugdymosi poreikių – iki 21 metų) ir vaiko atstovams koordinavimui finansuoti</w:t>
            </w:r>
          </w:p>
        </w:tc>
        <w:tc>
          <w:tcPr>
            <w:tcW w:w="682" w:type="pct"/>
            <w:tcBorders>
              <w:top w:val="nil"/>
              <w:left w:val="nil"/>
              <w:bottom w:val="single" w:sz="4" w:space="0" w:color="auto"/>
              <w:right w:val="single" w:sz="4" w:space="0" w:color="auto"/>
            </w:tcBorders>
            <w:shd w:val="clear" w:color="auto" w:fill="auto"/>
            <w:noWrap/>
            <w:vAlign w:val="center"/>
            <w:hideMark/>
          </w:tcPr>
          <w:p w14:paraId="55DEF58A" w14:textId="77777777" w:rsidR="00A61C07" w:rsidRPr="00A61C07" w:rsidRDefault="00A61C07" w:rsidP="00A61C07">
            <w:pPr>
              <w:ind w:firstLine="0"/>
              <w:jc w:val="center"/>
              <w:rPr>
                <w:sz w:val="22"/>
                <w:szCs w:val="22"/>
                <w:lang w:eastAsia="lt-LT"/>
              </w:rPr>
            </w:pPr>
            <w:r w:rsidRPr="00A61C07">
              <w:rPr>
                <w:sz w:val="22"/>
                <w:szCs w:val="22"/>
                <w:lang w:eastAsia="lt-LT"/>
              </w:rPr>
              <w:t>18510</w:t>
            </w:r>
          </w:p>
        </w:tc>
        <w:tc>
          <w:tcPr>
            <w:tcW w:w="683" w:type="pct"/>
            <w:tcBorders>
              <w:top w:val="nil"/>
              <w:left w:val="nil"/>
              <w:bottom w:val="single" w:sz="4" w:space="0" w:color="auto"/>
              <w:right w:val="single" w:sz="4" w:space="0" w:color="auto"/>
            </w:tcBorders>
            <w:shd w:val="clear" w:color="auto" w:fill="auto"/>
            <w:noWrap/>
            <w:vAlign w:val="center"/>
            <w:hideMark/>
          </w:tcPr>
          <w:p w14:paraId="657E7F9B" w14:textId="77777777" w:rsidR="00A61C07" w:rsidRPr="00A61C07" w:rsidRDefault="00A61C07" w:rsidP="00A61C07">
            <w:pPr>
              <w:ind w:firstLine="0"/>
              <w:jc w:val="center"/>
              <w:rPr>
                <w:sz w:val="22"/>
                <w:szCs w:val="22"/>
                <w:lang w:eastAsia="lt-LT"/>
              </w:rPr>
            </w:pPr>
            <w:r w:rsidRPr="00A61C07">
              <w:rPr>
                <w:sz w:val="22"/>
                <w:szCs w:val="22"/>
                <w:lang w:eastAsia="lt-LT"/>
              </w:rPr>
              <w:t>1869</w:t>
            </w:r>
          </w:p>
        </w:tc>
        <w:tc>
          <w:tcPr>
            <w:tcW w:w="597" w:type="pct"/>
            <w:tcBorders>
              <w:top w:val="nil"/>
              <w:left w:val="nil"/>
              <w:bottom w:val="single" w:sz="4" w:space="0" w:color="auto"/>
              <w:right w:val="single" w:sz="4" w:space="0" w:color="auto"/>
            </w:tcBorders>
            <w:shd w:val="clear" w:color="auto" w:fill="auto"/>
            <w:noWrap/>
            <w:vAlign w:val="center"/>
            <w:hideMark/>
          </w:tcPr>
          <w:p w14:paraId="40F23A4B" w14:textId="77777777" w:rsidR="00A61C07" w:rsidRPr="00A61C07" w:rsidRDefault="00A61C07" w:rsidP="00A61C07">
            <w:pPr>
              <w:ind w:firstLine="0"/>
              <w:jc w:val="center"/>
              <w:rPr>
                <w:sz w:val="22"/>
                <w:szCs w:val="22"/>
                <w:lang w:eastAsia="lt-LT"/>
              </w:rPr>
            </w:pPr>
            <w:r w:rsidRPr="00A61C07">
              <w:rPr>
                <w:sz w:val="22"/>
                <w:szCs w:val="22"/>
                <w:lang w:eastAsia="lt-LT"/>
              </w:rPr>
              <w:t>20379</w:t>
            </w:r>
          </w:p>
        </w:tc>
      </w:tr>
      <w:tr w:rsidR="00A61C07" w:rsidRPr="00A61C07" w14:paraId="706ED171" w14:textId="77777777" w:rsidTr="00084E5E">
        <w:trPr>
          <w:trHeight w:val="40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21A0471F" w14:textId="77777777" w:rsidR="00A61C07" w:rsidRPr="00A61C07" w:rsidRDefault="00A61C07" w:rsidP="00A61C07">
            <w:pPr>
              <w:ind w:firstLine="0"/>
              <w:jc w:val="left"/>
              <w:rPr>
                <w:sz w:val="22"/>
                <w:szCs w:val="22"/>
                <w:lang w:eastAsia="lt-LT"/>
              </w:rPr>
            </w:pPr>
            <w:r w:rsidRPr="00A61C07">
              <w:rPr>
                <w:sz w:val="22"/>
                <w:szCs w:val="22"/>
                <w:lang w:eastAsia="lt-LT"/>
              </w:rPr>
              <w:t>Ugdymo reikmėms finansuoti</w:t>
            </w:r>
          </w:p>
        </w:tc>
        <w:tc>
          <w:tcPr>
            <w:tcW w:w="682" w:type="pct"/>
            <w:tcBorders>
              <w:top w:val="nil"/>
              <w:left w:val="nil"/>
              <w:bottom w:val="single" w:sz="4" w:space="0" w:color="auto"/>
              <w:right w:val="single" w:sz="4" w:space="0" w:color="auto"/>
            </w:tcBorders>
            <w:shd w:val="clear" w:color="auto" w:fill="auto"/>
            <w:noWrap/>
            <w:vAlign w:val="center"/>
            <w:hideMark/>
          </w:tcPr>
          <w:p w14:paraId="1CD527DC" w14:textId="77777777" w:rsidR="00A61C07" w:rsidRPr="00A61C07" w:rsidRDefault="00A61C07" w:rsidP="00A61C07">
            <w:pPr>
              <w:ind w:firstLine="0"/>
              <w:jc w:val="center"/>
              <w:rPr>
                <w:sz w:val="22"/>
                <w:szCs w:val="22"/>
                <w:lang w:eastAsia="lt-LT"/>
              </w:rPr>
            </w:pPr>
            <w:r w:rsidRPr="00A61C07">
              <w:rPr>
                <w:sz w:val="22"/>
                <w:szCs w:val="22"/>
                <w:lang w:eastAsia="lt-LT"/>
              </w:rPr>
              <w:t>5394400</w:t>
            </w:r>
          </w:p>
        </w:tc>
        <w:tc>
          <w:tcPr>
            <w:tcW w:w="683" w:type="pct"/>
            <w:tcBorders>
              <w:top w:val="nil"/>
              <w:left w:val="nil"/>
              <w:bottom w:val="single" w:sz="4" w:space="0" w:color="auto"/>
              <w:right w:val="single" w:sz="4" w:space="0" w:color="auto"/>
            </w:tcBorders>
            <w:shd w:val="clear" w:color="auto" w:fill="auto"/>
            <w:noWrap/>
            <w:vAlign w:val="center"/>
            <w:hideMark/>
          </w:tcPr>
          <w:p w14:paraId="3866F438" w14:textId="77777777" w:rsidR="00A61C07" w:rsidRPr="00A61C07" w:rsidRDefault="00A61C07" w:rsidP="00A61C07">
            <w:pPr>
              <w:ind w:firstLine="0"/>
              <w:jc w:val="center"/>
              <w:rPr>
                <w:sz w:val="22"/>
                <w:szCs w:val="22"/>
                <w:lang w:eastAsia="lt-LT"/>
              </w:rPr>
            </w:pPr>
            <w:r w:rsidRPr="00A61C07">
              <w:rPr>
                <w:sz w:val="22"/>
                <w:szCs w:val="22"/>
                <w:lang w:eastAsia="lt-LT"/>
              </w:rPr>
              <w:t>365600</w:t>
            </w:r>
          </w:p>
        </w:tc>
        <w:tc>
          <w:tcPr>
            <w:tcW w:w="597" w:type="pct"/>
            <w:tcBorders>
              <w:top w:val="nil"/>
              <w:left w:val="nil"/>
              <w:bottom w:val="single" w:sz="4" w:space="0" w:color="auto"/>
              <w:right w:val="single" w:sz="4" w:space="0" w:color="auto"/>
            </w:tcBorders>
            <w:shd w:val="clear" w:color="auto" w:fill="auto"/>
            <w:noWrap/>
            <w:vAlign w:val="center"/>
            <w:hideMark/>
          </w:tcPr>
          <w:p w14:paraId="60B3E541" w14:textId="77777777" w:rsidR="00A61C07" w:rsidRPr="00A61C07" w:rsidRDefault="00A61C07" w:rsidP="00A61C07">
            <w:pPr>
              <w:ind w:firstLine="0"/>
              <w:jc w:val="center"/>
              <w:rPr>
                <w:sz w:val="22"/>
                <w:szCs w:val="22"/>
                <w:lang w:eastAsia="lt-LT"/>
              </w:rPr>
            </w:pPr>
            <w:r w:rsidRPr="00A61C07">
              <w:rPr>
                <w:sz w:val="22"/>
                <w:szCs w:val="22"/>
                <w:lang w:eastAsia="lt-LT"/>
              </w:rPr>
              <w:t>5760000</w:t>
            </w:r>
          </w:p>
        </w:tc>
      </w:tr>
      <w:tr w:rsidR="00A61C07" w:rsidRPr="00A61C07" w14:paraId="7880B592" w14:textId="77777777" w:rsidTr="00084E5E">
        <w:trPr>
          <w:trHeight w:val="54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6665CC4B" w14:textId="77777777" w:rsidR="00A61C07" w:rsidRPr="00A61C07" w:rsidRDefault="00A61C07" w:rsidP="00A61C07">
            <w:pPr>
              <w:ind w:firstLine="0"/>
              <w:jc w:val="left"/>
              <w:rPr>
                <w:sz w:val="22"/>
                <w:szCs w:val="22"/>
                <w:lang w:eastAsia="lt-LT"/>
              </w:rPr>
            </w:pPr>
            <w:r w:rsidRPr="00A61C07">
              <w:rPr>
                <w:sz w:val="22"/>
                <w:szCs w:val="22"/>
                <w:lang w:eastAsia="lt-LT"/>
              </w:rPr>
              <w:t>Mokiniams, turintiems specialiųjų ugdymosi poreikių, ugdyti</w:t>
            </w:r>
          </w:p>
        </w:tc>
        <w:tc>
          <w:tcPr>
            <w:tcW w:w="682" w:type="pct"/>
            <w:tcBorders>
              <w:top w:val="nil"/>
              <w:left w:val="nil"/>
              <w:bottom w:val="single" w:sz="4" w:space="0" w:color="auto"/>
              <w:right w:val="single" w:sz="4" w:space="0" w:color="auto"/>
            </w:tcBorders>
            <w:shd w:val="clear" w:color="auto" w:fill="auto"/>
            <w:noWrap/>
            <w:vAlign w:val="center"/>
            <w:hideMark/>
          </w:tcPr>
          <w:p w14:paraId="6A5B36FB" w14:textId="77777777" w:rsidR="00A61C07" w:rsidRPr="00A61C07" w:rsidRDefault="00A61C07" w:rsidP="00A61C07">
            <w:pPr>
              <w:ind w:firstLine="0"/>
              <w:jc w:val="center"/>
              <w:rPr>
                <w:sz w:val="22"/>
                <w:szCs w:val="22"/>
                <w:lang w:eastAsia="lt-LT"/>
              </w:rPr>
            </w:pPr>
            <w:r w:rsidRPr="00A61C07">
              <w:rPr>
                <w:sz w:val="22"/>
                <w:szCs w:val="22"/>
                <w:lang w:eastAsia="lt-LT"/>
              </w:rPr>
              <w:t>48000</w:t>
            </w:r>
          </w:p>
        </w:tc>
        <w:tc>
          <w:tcPr>
            <w:tcW w:w="683" w:type="pct"/>
            <w:tcBorders>
              <w:top w:val="nil"/>
              <w:left w:val="nil"/>
              <w:bottom w:val="single" w:sz="4" w:space="0" w:color="auto"/>
              <w:right w:val="single" w:sz="4" w:space="0" w:color="auto"/>
            </w:tcBorders>
            <w:shd w:val="clear" w:color="auto" w:fill="auto"/>
            <w:noWrap/>
            <w:vAlign w:val="center"/>
            <w:hideMark/>
          </w:tcPr>
          <w:p w14:paraId="48591DF0" w14:textId="77777777" w:rsidR="00A61C07" w:rsidRPr="00A61C07" w:rsidRDefault="00A61C07" w:rsidP="00A61C07">
            <w:pPr>
              <w:ind w:firstLine="0"/>
              <w:jc w:val="center"/>
              <w:rPr>
                <w:sz w:val="22"/>
                <w:szCs w:val="22"/>
                <w:lang w:eastAsia="lt-LT"/>
              </w:rPr>
            </w:pPr>
            <w:r w:rsidRPr="00A61C07">
              <w:rPr>
                <w:sz w:val="22"/>
                <w:szCs w:val="22"/>
                <w:lang w:eastAsia="lt-LT"/>
              </w:rPr>
              <w:t>10400</w:t>
            </w:r>
          </w:p>
        </w:tc>
        <w:tc>
          <w:tcPr>
            <w:tcW w:w="597" w:type="pct"/>
            <w:tcBorders>
              <w:top w:val="nil"/>
              <w:left w:val="nil"/>
              <w:bottom w:val="single" w:sz="4" w:space="0" w:color="auto"/>
              <w:right w:val="single" w:sz="4" w:space="0" w:color="auto"/>
            </w:tcBorders>
            <w:shd w:val="clear" w:color="auto" w:fill="auto"/>
            <w:noWrap/>
            <w:vAlign w:val="center"/>
            <w:hideMark/>
          </w:tcPr>
          <w:p w14:paraId="1DDE6977" w14:textId="77777777" w:rsidR="00A61C07" w:rsidRPr="00A61C07" w:rsidRDefault="00A61C07" w:rsidP="00A61C07">
            <w:pPr>
              <w:ind w:firstLine="0"/>
              <w:jc w:val="center"/>
              <w:rPr>
                <w:sz w:val="22"/>
                <w:szCs w:val="22"/>
                <w:lang w:eastAsia="lt-LT"/>
              </w:rPr>
            </w:pPr>
            <w:r w:rsidRPr="00A61C07">
              <w:rPr>
                <w:sz w:val="22"/>
                <w:szCs w:val="22"/>
                <w:lang w:eastAsia="lt-LT"/>
              </w:rPr>
              <w:t>58400</w:t>
            </w:r>
          </w:p>
        </w:tc>
      </w:tr>
      <w:tr w:rsidR="00A61C07" w:rsidRPr="00A61C07" w14:paraId="1597DCD8" w14:textId="77777777" w:rsidTr="00084E5E">
        <w:trPr>
          <w:trHeight w:val="690"/>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7CC29CD8" w14:textId="77777777" w:rsidR="00A61C07" w:rsidRPr="00A61C07" w:rsidRDefault="00A61C07" w:rsidP="00A61C07">
            <w:pPr>
              <w:ind w:firstLine="0"/>
              <w:jc w:val="left"/>
              <w:rPr>
                <w:sz w:val="22"/>
                <w:szCs w:val="22"/>
                <w:lang w:eastAsia="lt-LT"/>
              </w:rPr>
            </w:pPr>
            <w:r w:rsidRPr="00A61C07">
              <w:rPr>
                <w:sz w:val="22"/>
                <w:szCs w:val="22"/>
                <w:lang w:eastAsia="lt-LT"/>
              </w:rPr>
              <w:t>Lėšos, skirtos pedagoginių darbuotojų, išlaikomų iš savivaldybės biudžeto, darbo užmokesčiui padidinti</w:t>
            </w:r>
          </w:p>
        </w:tc>
        <w:tc>
          <w:tcPr>
            <w:tcW w:w="682" w:type="pct"/>
            <w:tcBorders>
              <w:top w:val="nil"/>
              <w:left w:val="nil"/>
              <w:bottom w:val="single" w:sz="4" w:space="0" w:color="auto"/>
              <w:right w:val="single" w:sz="4" w:space="0" w:color="auto"/>
            </w:tcBorders>
            <w:shd w:val="clear" w:color="000000" w:fill="FFFFFF"/>
            <w:noWrap/>
            <w:vAlign w:val="center"/>
            <w:hideMark/>
          </w:tcPr>
          <w:p w14:paraId="5107FF95" w14:textId="77777777" w:rsidR="00A61C07" w:rsidRPr="00A61C07" w:rsidRDefault="00A61C07" w:rsidP="00A61C07">
            <w:pPr>
              <w:ind w:firstLine="0"/>
              <w:jc w:val="center"/>
              <w:rPr>
                <w:sz w:val="22"/>
                <w:szCs w:val="22"/>
                <w:lang w:eastAsia="lt-LT"/>
              </w:rPr>
            </w:pPr>
            <w:r w:rsidRPr="00A61C07">
              <w:rPr>
                <w:sz w:val="22"/>
                <w:szCs w:val="22"/>
                <w:lang w:eastAsia="lt-LT"/>
              </w:rPr>
              <w:t>69000</w:t>
            </w:r>
          </w:p>
        </w:tc>
        <w:tc>
          <w:tcPr>
            <w:tcW w:w="683" w:type="pct"/>
            <w:tcBorders>
              <w:top w:val="nil"/>
              <w:left w:val="nil"/>
              <w:bottom w:val="single" w:sz="4" w:space="0" w:color="auto"/>
              <w:right w:val="single" w:sz="4" w:space="0" w:color="auto"/>
            </w:tcBorders>
            <w:shd w:val="clear" w:color="auto" w:fill="auto"/>
            <w:noWrap/>
            <w:vAlign w:val="center"/>
            <w:hideMark/>
          </w:tcPr>
          <w:p w14:paraId="3AE4CD5F" w14:textId="77777777" w:rsidR="00A61C07" w:rsidRPr="00A61C07" w:rsidRDefault="00A61C07" w:rsidP="00A61C07">
            <w:pPr>
              <w:ind w:firstLine="0"/>
              <w:jc w:val="center"/>
              <w:rPr>
                <w:sz w:val="22"/>
                <w:szCs w:val="22"/>
                <w:lang w:eastAsia="lt-LT"/>
              </w:rPr>
            </w:pPr>
            <w:r w:rsidRPr="00A61C07">
              <w:rPr>
                <w:sz w:val="22"/>
                <w:szCs w:val="22"/>
                <w:lang w:eastAsia="lt-LT"/>
              </w:rPr>
              <w:t>-69000</w:t>
            </w:r>
          </w:p>
        </w:tc>
        <w:tc>
          <w:tcPr>
            <w:tcW w:w="597" w:type="pct"/>
            <w:tcBorders>
              <w:top w:val="nil"/>
              <w:left w:val="nil"/>
              <w:bottom w:val="single" w:sz="4" w:space="0" w:color="auto"/>
              <w:right w:val="single" w:sz="4" w:space="0" w:color="auto"/>
            </w:tcBorders>
            <w:shd w:val="clear" w:color="000000" w:fill="FFFFFF"/>
            <w:noWrap/>
            <w:vAlign w:val="center"/>
            <w:hideMark/>
          </w:tcPr>
          <w:p w14:paraId="76A791F8" w14:textId="77777777" w:rsidR="00A61C07" w:rsidRPr="00A61C07" w:rsidRDefault="00A61C07" w:rsidP="00A61C07">
            <w:pPr>
              <w:ind w:firstLine="0"/>
              <w:jc w:val="center"/>
              <w:rPr>
                <w:sz w:val="22"/>
                <w:szCs w:val="22"/>
                <w:lang w:eastAsia="lt-LT"/>
              </w:rPr>
            </w:pPr>
            <w:r w:rsidRPr="00A61C07">
              <w:rPr>
                <w:sz w:val="22"/>
                <w:szCs w:val="22"/>
                <w:lang w:eastAsia="lt-LT"/>
              </w:rPr>
              <w:t>0</w:t>
            </w:r>
          </w:p>
        </w:tc>
      </w:tr>
      <w:tr w:rsidR="00A61C07" w:rsidRPr="00A61C07" w14:paraId="72E244CF" w14:textId="77777777" w:rsidTr="00084E5E">
        <w:trPr>
          <w:trHeight w:val="690"/>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7E0006C8" w14:textId="77777777" w:rsidR="00A61C07" w:rsidRPr="00A61C07" w:rsidRDefault="00A61C07" w:rsidP="00A61C07">
            <w:pPr>
              <w:ind w:firstLine="0"/>
              <w:jc w:val="left"/>
              <w:rPr>
                <w:sz w:val="22"/>
                <w:szCs w:val="22"/>
                <w:lang w:eastAsia="lt-LT"/>
              </w:rPr>
            </w:pPr>
            <w:r w:rsidRPr="00A61C07">
              <w:rPr>
                <w:sz w:val="22"/>
                <w:szCs w:val="22"/>
                <w:lang w:eastAsia="lt-LT"/>
              </w:rPr>
              <w:t>Lėšos, skirtos akredituotai vaikų dienos socialinei priežiūrai organizuoti, teikti ir administruoti</w:t>
            </w:r>
          </w:p>
        </w:tc>
        <w:tc>
          <w:tcPr>
            <w:tcW w:w="682" w:type="pct"/>
            <w:tcBorders>
              <w:top w:val="nil"/>
              <w:left w:val="nil"/>
              <w:bottom w:val="single" w:sz="4" w:space="0" w:color="auto"/>
              <w:right w:val="single" w:sz="4" w:space="0" w:color="auto"/>
            </w:tcBorders>
            <w:shd w:val="clear" w:color="000000" w:fill="FFFFFF"/>
            <w:noWrap/>
            <w:vAlign w:val="center"/>
            <w:hideMark/>
          </w:tcPr>
          <w:p w14:paraId="62112F53" w14:textId="77777777" w:rsidR="00A61C07" w:rsidRPr="00A61C07" w:rsidRDefault="00A61C07" w:rsidP="00A61C07">
            <w:pPr>
              <w:ind w:firstLine="0"/>
              <w:jc w:val="center"/>
              <w:rPr>
                <w:sz w:val="22"/>
                <w:szCs w:val="22"/>
                <w:lang w:eastAsia="lt-LT"/>
              </w:rPr>
            </w:pPr>
            <w:r w:rsidRPr="00A61C07">
              <w:rPr>
                <w:sz w:val="22"/>
                <w:szCs w:val="22"/>
                <w:lang w:eastAsia="lt-LT"/>
              </w:rPr>
              <w:t>117700</w:t>
            </w:r>
          </w:p>
        </w:tc>
        <w:tc>
          <w:tcPr>
            <w:tcW w:w="683" w:type="pct"/>
            <w:tcBorders>
              <w:top w:val="nil"/>
              <w:left w:val="nil"/>
              <w:bottom w:val="single" w:sz="4" w:space="0" w:color="auto"/>
              <w:right w:val="single" w:sz="4" w:space="0" w:color="auto"/>
            </w:tcBorders>
            <w:shd w:val="clear" w:color="auto" w:fill="auto"/>
            <w:noWrap/>
            <w:vAlign w:val="center"/>
            <w:hideMark/>
          </w:tcPr>
          <w:p w14:paraId="485168FB" w14:textId="77777777" w:rsidR="00A61C07" w:rsidRPr="00A61C07" w:rsidRDefault="00A61C07" w:rsidP="00A61C07">
            <w:pPr>
              <w:ind w:firstLine="0"/>
              <w:jc w:val="center"/>
              <w:rPr>
                <w:sz w:val="22"/>
                <w:szCs w:val="22"/>
                <w:lang w:eastAsia="lt-LT"/>
              </w:rPr>
            </w:pPr>
            <w:r w:rsidRPr="00A61C07">
              <w:rPr>
                <w:sz w:val="22"/>
                <w:szCs w:val="22"/>
                <w:lang w:eastAsia="lt-LT"/>
              </w:rPr>
              <w:t>6600</w:t>
            </w:r>
          </w:p>
        </w:tc>
        <w:tc>
          <w:tcPr>
            <w:tcW w:w="597" w:type="pct"/>
            <w:tcBorders>
              <w:top w:val="nil"/>
              <w:left w:val="nil"/>
              <w:bottom w:val="single" w:sz="4" w:space="0" w:color="auto"/>
              <w:right w:val="single" w:sz="4" w:space="0" w:color="auto"/>
            </w:tcBorders>
            <w:shd w:val="clear" w:color="000000" w:fill="FFFFFF"/>
            <w:noWrap/>
            <w:vAlign w:val="center"/>
            <w:hideMark/>
          </w:tcPr>
          <w:p w14:paraId="76353940" w14:textId="77777777" w:rsidR="00A61C07" w:rsidRPr="00A61C07" w:rsidRDefault="00A61C07" w:rsidP="00A61C07">
            <w:pPr>
              <w:ind w:firstLine="0"/>
              <w:jc w:val="center"/>
              <w:rPr>
                <w:sz w:val="22"/>
                <w:szCs w:val="22"/>
                <w:lang w:eastAsia="lt-LT"/>
              </w:rPr>
            </w:pPr>
            <w:r w:rsidRPr="00A61C07">
              <w:rPr>
                <w:sz w:val="22"/>
                <w:szCs w:val="22"/>
                <w:lang w:eastAsia="lt-LT"/>
              </w:rPr>
              <w:t>124300</w:t>
            </w:r>
          </w:p>
        </w:tc>
      </w:tr>
      <w:tr w:rsidR="00A61C07" w:rsidRPr="00A61C07" w14:paraId="7351B558" w14:textId="77777777" w:rsidTr="00084E5E">
        <w:trPr>
          <w:trHeight w:val="402"/>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6D769D14" w14:textId="77777777" w:rsidR="00A61C07" w:rsidRPr="00A61C07" w:rsidRDefault="00A61C07" w:rsidP="00A61C07">
            <w:pPr>
              <w:ind w:firstLine="0"/>
              <w:jc w:val="left"/>
              <w:rPr>
                <w:sz w:val="22"/>
                <w:szCs w:val="22"/>
                <w:lang w:eastAsia="lt-LT"/>
              </w:rPr>
            </w:pPr>
            <w:r w:rsidRPr="00A61C07">
              <w:rPr>
                <w:sz w:val="22"/>
                <w:szCs w:val="22"/>
                <w:lang w:eastAsia="lt-LT"/>
              </w:rPr>
              <w:t xml:space="preserve">Lėšos, skirtos neformaliajam vaikų švietimui </w:t>
            </w:r>
          </w:p>
        </w:tc>
        <w:tc>
          <w:tcPr>
            <w:tcW w:w="682" w:type="pct"/>
            <w:tcBorders>
              <w:top w:val="nil"/>
              <w:left w:val="nil"/>
              <w:bottom w:val="single" w:sz="4" w:space="0" w:color="auto"/>
              <w:right w:val="single" w:sz="4" w:space="0" w:color="auto"/>
            </w:tcBorders>
            <w:shd w:val="clear" w:color="000000" w:fill="FFFFFF"/>
            <w:noWrap/>
            <w:vAlign w:val="center"/>
            <w:hideMark/>
          </w:tcPr>
          <w:p w14:paraId="7A74E70C" w14:textId="77777777" w:rsidR="00A61C07" w:rsidRPr="00A61C07" w:rsidRDefault="00A61C07" w:rsidP="00A61C07">
            <w:pPr>
              <w:ind w:firstLine="0"/>
              <w:jc w:val="center"/>
              <w:rPr>
                <w:sz w:val="22"/>
                <w:szCs w:val="22"/>
                <w:lang w:eastAsia="lt-LT"/>
              </w:rPr>
            </w:pPr>
            <w:r w:rsidRPr="00A61C07">
              <w:rPr>
                <w:sz w:val="22"/>
                <w:szCs w:val="22"/>
                <w:lang w:eastAsia="lt-LT"/>
              </w:rPr>
              <w:t>85700</w:t>
            </w:r>
          </w:p>
        </w:tc>
        <w:tc>
          <w:tcPr>
            <w:tcW w:w="683" w:type="pct"/>
            <w:tcBorders>
              <w:top w:val="nil"/>
              <w:left w:val="nil"/>
              <w:bottom w:val="single" w:sz="4" w:space="0" w:color="auto"/>
              <w:right w:val="single" w:sz="4" w:space="0" w:color="auto"/>
            </w:tcBorders>
            <w:shd w:val="clear" w:color="auto" w:fill="auto"/>
            <w:noWrap/>
            <w:vAlign w:val="center"/>
            <w:hideMark/>
          </w:tcPr>
          <w:p w14:paraId="71D0AF04" w14:textId="77777777" w:rsidR="00A61C07" w:rsidRPr="00A61C07" w:rsidRDefault="00A61C07" w:rsidP="00A61C07">
            <w:pPr>
              <w:ind w:firstLine="0"/>
              <w:jc w:val="center"/>
              <w:rPr>
                <w:sz w:val="22"/>
                <w:szCs w:val="22"/>
                <w:lang w:eastAsia="lt-LT"/>
              </w:rPr>
            </w:pPr>
            <w:r w:rsidRPr="00A61C07">
              <w:rPr>
                <w:sz w:val="22"/>
                <w:szCs w:val="22"/>
                <w:lang w:eastAsia="lt-LT"/>
              </w:rPr>
              <w:t>-4100</w:t>
            </w:r>
          </w:p>
        </w:tc>
        <w:tc>
          <w:tcPr>
            <w:tcW w:w="597" w:type="pct"/>
            <w:tcBorders>
              <w:top w:val="nil"/>
              <w:left w:val="nil"/>
              <w:bottom w:val="single" w:sz="4" w:space="0" w:color="auto"/>
              <w:right w:val="single" w:sz="4" w:space="0" w:color="auto"/>
            </w:tcBorders>
            <w:shd w:val="clear" w:color="000000" w:fill="FFFFFF"/>
            <w:noWrap/>
            <w:vAlign w:val="center"/>
            <w:hideMark/>
          </w:tcPr>
          <w:p w14:paraId="6DD72FCD" w14:textId="77777777" w:rsidR="00A61C07" w:rsidRPr="00A61C07" w:rsidRDefault="00A61C07" w:rsidP="00A61C07">
            <w:pPr>
              <w:ind w:firstLine="0"/>
              <w:jc w:val="center"/>
              <w:rPr>
                <w:sz w:val="22"/>
                <w:szCs w:val="22"/>
                <w:lang w:eastAsia="lt-LT"/>
              </w:rPr>
            </w:pPr>
            <w:r w:rsidRPr="00A61C07">
              <w:rPr>
                <w:sz w:val="22"/>
                <w:szCs w:val="22"/>
                <w:lang w:eastAsia="lt-LT"/>
              </w:rPr>
              <w:t>81600</w:t>
            </w:r>
          </w:p>
        </w:tc>
      </w:tr>
      <w:tr w:rsidR="00084E5E" w:rsidRPr="00A61C07" w14:paraId="0E4ADA88" w14:textId="77777777" w:rsidTr="00084E5E">
        <w:trPr>
          <w:trHeight w:val="765"/>
        </w:trPr>
        <w:tc>
          <w:tcPr>
            <w:tcW w:w="3038" w:type="pct"/>
            <w:tcBorders>
              <w:top w:val="single" w:sz="4" w:space="0" w:color="auto"/>
              <w:left w:val="single" w:sz="4" w:space="0" w:color="auto"/>
              <w:bottom w:val="single" w:sz="4" w:space="0" w:color="auto"/>
              <w:right w:val="single" w:sz="4" w:space="0" w:color="auto"/>
            </w:tcBorders>
            <w:shd w:val="clear" w:color="auto" w:fill="FFFF99"/>
            <w:vAlign w:val="center"/>
          </w:tcPr>
          <w:p w14:paraId="0788B970" w14:textId="74CE1EDC" w:rsidR="00084E5E" w:rsidRPr="00084E5E" w:rsidRDefault="00084E5E" w:rsidP="00084E5E">
            <w:pPr>
              <w:ind w:firstLine="0"/>
              <w:jc w:val="center"/>
              <w:rPr>
                <w:sz w:val="22"/>
                <w:szCs w:val="22"/>
                <w:lang w:eastAsia="lt-LT"/>
              </w:rPr>
            </w:pPr>
            <w:r w:rsidRPr="00A61C07">
              <w:rPr>
                <w:sz w:val="22"/>
                <w:szCs w:val="22"/>
                <w:lang w:eastAsia="lt-LT"/>
              </w:rPr>
              <w:lastRenderedPageBreak/>
              <w:t>Pajamų pavadinimas</w:t>
            </w:r>
          </w:p>
        </w:tc>
        <w:tc>
          <w:tcPr>
            <w:tcW w:w="682" w:type="pct"/>
            <w:tcBorders>
              <w:top w:val="single" w:sz="4" w:space="0" w:color="auto"/>
              <w:left w:val="nil"/>
              <w:bottom w:val="single" w:sz="4" w:space="0" w:color="auto"/>
              <w:right w:val="single" w:sz="4" w:space="0" w:color="auto"/>
            </w:tcBorders>
            <w:shd w:val="clear" w:color="auto" w:fill="FFFF99"/>
            <w:noWrap/>
            <w:vAlign w:val="center"/>
          </w:tcPr>
          <w:p w14:paraId="233EAE9E" w14:textId="2282DB0E" w:rsidR="00084E5E" w:rsidRPr="00084E5E" w:rsidRDefault="00084E5E" w:rsidP="00084E5E">
            <w:pPr>
              <w:ind w:firstLine="0"/>
              <w:jc w:val="center"/>
              <w:rPr>
                <w:sz w:val="22"/>
                <w:szCs w:val="22"/>
                <w:lang w:eastAsia="lt-LT"/>
              </w:rPr>
            </w:pPr>
            <w:r w:rsidRPr="00A61C07">
              <w:rPr>
                <w:sz w:val="22"/>
                <w:szCs w:val="22"/>
                <w:lang w:eastAsia="lt-LT"/>
              </w:rPr>
              <w:t>Patvirtinta</w:t>
            </w:r>
            <w:r w:rsidRPr="00A61C07">
              <w:rPr>
                <w:sz w:val="22"/>
                <w:szCs w:val="22"/>
                <w:lang w:eastAsia="lt-LT"/>
              </w:rPr>
              <w:br/>
              <w:t>2022-02-23</w:t>
            </w:r>
          </w:p>
        </w:tc>
        <w:tc>
          <w:tcPr>
            <w:tcW w:w="683" w:type="pct"/>
            <w:tcBorders>
              <w:top w:val="single" w:sz="4" w:space="0" w:color="auto"/>
              <w:left w:val="nil"/>
              <w:bottom w:val="single" w:sz="4" w:space="0" w:color="auto"/>
              <w:right w:val="single" w:sz="4" w:space="0" w:color="auto"/>
            </w:tcBorders>
            <w:shd w:val="clear" w:color="auto" w:fill="FFFF99"/>
            <w:noWrap/>
            <w:vAlign w:val="center"/>
          </w:tcPr>
          <w:p w14:paraId="36BDAE54" w14:textId="111A68C1" w:rsidR="00084E5E" w:rsidRPr="00084E5E" w:rsidRDefault="00084E5E" w:rsidP="00084E5E">
            <w:pPr>
              <w:ind w:firstLine="0"/>
              <w:jc w:val="center"/>
              <w:rPr>
                <w:sz w:val="22"/>
                <w:szCs w:val="22"/>
                <w:lang w:eastAsia="lt-LT"/>
              </w:rPr>
            </w:pPr>
            <w:r w:rsidRPr="00A61C07">
              <w:rPr>
                <w:sz w:val="22"/>
                <w:szCs w:val="22"/>
                <w:lang w:eastAsia="lt-LT"/>
              </w:rPr>
              <w:t>Pokytis + / -</w:t>
            </w:r>
          </w:p>
        </w:tc>
        <w:tc>
          <w:tcPr>
            <w:tcW w:w="597" w:type="pct"/>
            <w:tcBorders>
              <w:top w:val="single" w:sz="4" w:space="0" w:color="auto"/>
              <w:left w:val="nil"/>
              <w:bottom w:val="single" w:sz="4" w:space="0" w:color="auto"/>
              <w:right w:val="single" w:sz="4" w:space="0" w:color="auto"/>
            </w:tcBorders>
            <w:shd w:val="clear" w:color="auto" w:fill="FFFF99"/>
            <w:noWrap/>
            <w:vAlign w:val="center"/>
          </w:tcPr>
          <w:p w14:paraId="25D59892" w14:textId="3D315E39" w:rsidR="00084E5E" w:rsidRPr="00084E5E" w:rsidRDefault="00084E5E" w:rsidP="00084E5E">
            <w:pPr>
              <w:ind w:firstLine="0"/>
              <w:jc w:val="center"/>
              <w:rPr>
                <w:sz w:val="22"/>
                <w:szCs w:val="22"/>
                <w:lang w:eastAsia="lt-LT"/>
              </w:rPr>
            </w:pPr>
            <w:r w:rsidRPr="00A61C07">
              <w:rPr>
                <w:sz w:val="22"/>
                <w:szCs w:val="22"/>
                <w:lang w:eastAsia="lt-LT"/>
              </w:rPr>
              <w:t>Projektas</w:t>
            </w:r>
            <w:r w:rsidRPr="00A61C07">
              <w:rPr>
                <w:sz w:val="22"/>
                <w:szCs w:val="22"/>
                <w:lang w:eastAsia="lt-LT"/>
              </w:rPr>
              <w:br/>
              <w:t>2023-02-02</w:t>
            </w:r>
          </w:p>
        </w:tc>
      </w:tr>
      <w:tr w:rsidR="00A61C07" w:rsidRPr="00A61C07" w14:paraId="5121D59E" w14:textId="77777777" w:rsidTr="00084E5E">
        <w:trPr>
          <w:trHeight w:val="765"/>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20A6E423" w14:textId="77777777" w:rsidR="00A61C07" w:rsidRPr="00A61C07" w:rsidRDefault="00A61C07" w:rsidP="00A61C07">
            <w:pPr>
              <w:ind w:firstLine="0"/>
              <w:jc w:val="left"/>
              <w:rPr>
                <w:sz w:val="22"/>
                <w:szCs w:val="22"/>
                <w:lang w:eastAsia="lt-LT"/>
              </w:rPr>
            </w:pPr>
            <w:r w:rsidRPr="00A61C07">
              <w:rPr>
                <w:sz w:val="22"/>
                <w:szCs w:val="22"/>
                <w:lang w:eastAsia="lt-LT"/>
              </w:rPr>
              <w:t>Lėšos, skirtos socialinių paslaugų srities darbuotojų minimaliesiems pareiginės algos pastoviosios dalies koeficientams didinti</w:t>
            </w:r>
          </w:p>
        </w:tc>
        <w:tc>
          <w:tcPr>
            <w:tcW w:w="682" w:type="pct"/>
            <w:tcBorders>
              <w:top w:val="nil"/>
              <w:left w:val="nil"/>
              <w:bottom w:val="single" w:sz="4" w:space="0" w:color="auto"/>
              <w:right w:val="single" w:sz="4" w:space="0" w:color="auto"/>
            </w:tcBorders>
            <w:shd w:val="clear" w:color="000000" w:fill="FFFFFF"/>
            <w:noWrap/>
            <w:vAlign w:val="center"/>
            <w:hideMark/>
          </w:tcPr>
          <w:p w14:paraId="3D8ACD3C" w14:textId="77777777" w:rsidR="00A61C07" w:rsidRPr="00A61C07" w:rsidRDefault="00A61C07" w:rsidP="00A61C07">
            <w:pPr>
              <w:ind w:firstLine="0"/>
              <w:jc w:val="center"/>
              <w:rPr>
                <w:sz w:val="22"/>
                <w:szCs w:val="22"/>
                <w:lang w:eastAsia="lt-LT"/>
              </w:rPr>
            </w:pPr>
            <w:r w:rsidRPr="00A61C07">
              <w:rPr>
                <w:sz w:val="22"/>
                <w:szCs w:val="22"/>
                <w:lang w:eastAsia="lt-LT"/>
              </w:rPr>
              <w:t>79600</w:t>
            </w:r>
          </w:p>
        </w:tc>
        <w:tc>
          <w:tcPr>
            <w:tcW w:w="683" w:type="pct"/>
            <w:tcBorders>
              <w:top w:val="nil"/>
              <w:left w:val="nil"/>
              <w:bottom w:val="single" w:sz="4" w:space="0" w:color="auto"/>
              <w:right w:val="single" w:sz="4" w:space="0" w:color="auto"/>
            </w:tcBorders>
            <w:shd w:val="clear" w:color="auto" w:fill="auto"/>
            <w:noWrap/>
            <w:vAlign w:val="center"/>
            <w:hideMark/>
          </w:tcPr>
          <w:p w14:paraId="10F04B52" w14:textId="77777777" w:rsidR="00A61C07" w:rsidRPr="00A61C07" w:rsidRDefault="00A61C07" w:rsidP="00A61C07">
            <w:pPr>
              <w:ind w:firstLine="0"/>
              <w:jc w:val="center"/>
              <w:rPr>
                <w:sz w:val="22"/>
                <w:szCs w:val="22"/>
                <w:lang w:eastAsia="lt-LT"/>
              </w:rPr>
            </w:pPr>
            <w:r w:rsidRPr="00A61C07">
              <w:rPr>
                <w:sz w:val="22"/>
                <w:szCs w:val="22"/>
                <w:lang w:eastAsia="lt-LT"/>
              </w:rPr>
              <w:t>2042</w:t>
            </w:r>
          </w:p>
        </w:tc>
        <w:tc>
          <w:tcPr>
            <w:tcW w:w="597" w:type="pct"/>
            <w:tcBorders>
              <w:top w:val="nil"/>
              <w:left w:val="nil"/>
              <w:bottom w:val="single" w:sz="4" w:space="0" w:color="auto"/>
              <w:right w:val="single" w:sz="4" w:space="0" w:color="auto"/>
            </w:tcBorders>
            <w:shd w:val="clear" w:color="000000" w:fill="FFFFFF"/>
            <w:noWrap/>
            <w:vAlign w:val="center"/>
            <w:hideMark/>
          </w:tcPr>
          <w:p w14:paraId="6D863811" w14:textId="77777777" w:rsidR="00A61C07" w:rsidRPr="00A61C07" w:rsidRDefault="00A61C07" w:rsidP="00A61C07">
            <w:pPr>
              <w:ind w:firstLine="0"/>
              <w:jc w:val="center"/>
              <w:rPr>
                <w:sz w:val="22"/>
                <w:szCs w:val="22"/>
                <w:lang w:eastAsia="lt-LT"/>
              </w:rPr>
            </w:pPr>
            <w:r w:rsidRPr="00A61C07">
              <w:rPr>
                <w:sz w:val="22"/>
                <w:szCs w:val="22"/>
                <w:lang w:eastAsia="lt-LT"/>
              </w:rPr>
              <w:t>81642</w:t>
            </w:r>
          </w:p>
        </w:tc>
      </w:tr>
      <w:tr w:rsidR="00A61C07" w:rsidRPr="00A61C07" w14:paraId="0EF4B0DA" w14:textId="77777777" w:rsidTr="00084E5E">
        <w:trPr>
          <w:trHeight w:val="73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1A0CE88A" w14:textId="77777777" w:rsidR="00A61C07" w:rsidRPr="00A61C07" w:rsidRDefault="00A61C07" w:rsidP="00A61C07">
            <w:pPr>
              <w:ind w:firstLine="0"/>
              <w:jc w:val="left"/>
              <w:rPr>
                <w:sz w:val="24"/>
                <w:szCs w:val="24"/>
                <w:lang w:eastAsia="lt-LT"/>
              </w:rPr>
            </w:pPr>
            <w:r w:rsidRPr="00A61C07">
              <w:rPr>
                <w:sz w:val="24"/>
                <w:szCs w:val="24"/>
                <w:lang w:eastAsia="lt-LT"/>
              </w:rPr>
              <w:t>Lėšos, skirtos ugdymo, maitinimo ir pavėžėjimo socialinę riziką  patiriančių vaikų ikimokykliniam ugdymui užtikrinti</w:t>
            </w:r>
          </w:p>
        </w:tc>
        <w:tc>
          <w:tcPr>
            <w:tcW w:w="682" w:type="pct"/>
            <w:tcBorders>
              <w:top w:val="nil"/>
              <w:left w:val="nil"/>
              <w:bottom w:val="single" w:sz="4" w:space="0" w:color="auto"/>
              <w:right w:val="single" w:sz="4" w:space="0" w:color="auto"/>
            </w:tcBorders>
            <w:shd w:val="clear" w:color="000000" w:fill="FFFFFF"/>
            <w:noWrap/>
            <w:vAlign w:val="center"/>
            <w:hideMark/>
          </w:tcPr>
          <w:p w14:paraId="7C41BD50" w14:textId="77777777" w:rsidR="00A61C07" w:rsidRPr="00A61C07" w:rsidRDefault="00A61C07" w:rsidP="00A61C07">
            <w:pPr>
              <w:ind w:firstLine="0"/>
              <w:jc w:val="center"/>
              <w:rPr>
                <w:sz w:val="22"/>
                <w:szCs w:val="22"/>
                <w:lang w:eastAsia="lt-LT"/>
              </w:rPr>
            </w:pPr>
            <w:r w:rsidRPr="00A61C07">
              <w:rPr>
                <w:sz w:val="22"/>
                <w:szCs w:val="22"/>
                <w:lang w:eastAsia="lt-LT"/>
              </w:rPr>
              <w:t>32210</w:t>
            </w:r>
          </w:p>
        </w:tc>
        <w:tc>
          <w:tcPr>
            <w:tcW w:w="683" w:type="pct"/>
            <w:tcBorders>
              <w:top w:val="nil"/>
              <w:left w:val="nil"/>
              <w:bottom w:val="single" w:sz="4" w:space="0" w:color="auto"/>
              <w:right w:val="single" w:sz="4" w:space="0" w:color="auto"/>
            </w:tcBorders>
            <w:shd w:val="clear" w:color="auto" w:fill="auto"/>
            <w:noWrap/>
            <w:vAlign w:val="center"/>
            <w:hideMark/>
          </w:tcPr>
          <w:p w14:paraId="01089556" w14:textId="77777777" w:rsidR="00A61C07" w:rsidRPr="00A61C07" w:rsidRDefault="00A61C07" w:rsidP="00A61C07">
            <w:pPr>
              <w:ind w:firstLine="0"/>
              <w:jc w:val="center"/>
              <w:rPr>
                <w:sz w:val="22"/>
                <w:szCs w:val="22"/>
                <w:lang w:eastAsia="lt-LT"/>
              </w:rPr>
            </w:pPr>
            <w:r w:rsidRPr="00A61C07">
              <w:rPr>
                <w:sz w:val="22"/>
                <w:szCs w:val="22"/>
                <w:lang w:eastAsia="lt-LT"/>
              </w:rPr>
              <w:t>6675</w:t>
            </w:r>
          </w:p>
        </w:tc>
        <w:tc>
          <w:tcPr>
            <w:tcW w:w="597" w:type="pct"/>
            <w:tcBorders>
              <w:top w:val="nil"/>
              <w:left w:val="nil"/>
              <w:bottom w:val="single" w:sz="4" w:space="0" w:color="auto"/>
              <w:right w:val="single" w:sz="4" w:space="0" w:color="auto"/>
            </w:tcBorders>
            <w:shd w:val="clear" w:color="000000" w:fill="FFFFFF"/>
            <w:noWrap/>
            <w:vAlign w:val="center"/>
            <w:hideMark/>
          </w:tcPr>
          <w:p w14:paraId="4155ADAE" w14:textId="77777777" w:rsidR="00A61C07" w:rsidRPr="00A61C07" w:rsidRDefault="00A61C07" w:rsidP="00A61C07">
            <w:pPr>
              <w:ind w:firstLine="0"/>
              <w:jc w:val="center"/>
              <w:rPr>
                <w:sz w:val="22"/>
                <w:szCs w:val="22"/>
                <w:lang w:eastAsia="lt-LT"/>
              </w:rPr>
            </w:pPr>
            <w:r w:rsidRPr="00A61C07">
              <w:rPr>
                <w:sz w:val="22"/>
                <w:szCs w:val="22"/>
                <w:lang w:eastAsia="lt-LT"/>
              </w:rPr>
              <w:t>38885</w:t>
            </w:r>
          </w:p>
        </w:tc>
      </w:tr>
      <w:tr w:rsidR="00A61C07" w:rsidRPr="00A61C07" w14:paraId="4E539C0C" w14:textId="77777777" w:rsidTr="00084E5E">
        <w:trPr>
          <w:trHeight w:val="660"/>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5C314275" w14:textId="77777777" w:rsidR="00A61C07" w:rsidRPr="00A61C07" w:rsidRDefault="00A61C07" w:rsidP="00A61C07">
            <w:pPr>
              <w:ind w:firstLine="0"/>
              <w:jc w:val="left"/>
              <w:rPr>
                <w:sz w:val="22"/>
                <w:szCs w:val="22"/>
                <w:lang w:eastAsia="lt-LT"/>
              </w:rPr>
            </w:pPr>
            <w:r w:rsidRPr="00A61C07">
              <w:rPr>
                <w:sz w:val="22"/>
                <w:szCs w:val="22"/>
                <w:lang w:eastAsia="lt-LT"/>
              </w:rPr>
              <w:t>Lėšos, skirtos padidėjusių  būsto šildymo išlaidų kompensacijos teikti</w:t>
            </w:r>
          </w:p>
        </w:tc>
        <w:tc>
          <w:tcPr>
            <w:tcW w:w="682" w:type="pct"/>
            <w:tcBorders>
              <w:top w:val="nil"/>
              <w:left w:val="nil"/>
              <w:bottom w:val="single" w:sz="4" w:space="0" w:color="auto"/>
              <w:right w:val="single" w:sz="4" w:space="0" w:color="auto"/>
            </w:tcBorders>
            <w:shd w:val="clear" w:color="000000" w:fill="FFFFFF"/>
            <w:noWrap/>
            <w:vAlign w:val="center"/>
            <w:hideMark/>
          </w:tcPr>
          <w:p w14:paraId="68CF633C" w14:textId="77777777" w:rsidR="00A61C07" w:rsidRPr="00A61C07" w:rsidRDefault="00A61C07" w:rsidP="00A61C07">
            <w:pPr>
              <w:ind w:firstLine="0"/>
              <w:jc w:val="center"/>
              <w:rPr>
                <w:sz w:val="22"/>
                <w:szCs w:val="22"/>
                <w:lang w:eastAsia="lt-LT"/>
              </w:rPr>
            </w:pPr>
            <w:r w:rsidRPr="00A61C07">
              <w:rPr>
                <w:sz w:val="22"/>
                <w:szCs w:val="22"/>
                <w:lang w:eastAsia="lt-LT"/>
              </w:rPr>
              <w:t>104900</w:t>
            </w:r>
          </w:p>
        </w:tc>
        <w:tc>
          <w:tcPr>
            <w:tcW w:w="683" w:type="pct"/>
            <w:tcBorders>
              <w:top w:val="nil"/>
              <w:left w:val="nil"/>
              <w:bottom w:val="single" w:sz="4" w:space="0" w:color="auto"/>
              <w:right w:val="single" w:sz="4" w:space="0" w:color="auto"/>
            </w:tcBorders>
            <w:shd w:val="clear" w:color="auto" w:fill="auto"/>
            <w:noWrap/>
            <w:vAlign w:val="center"/>
            <w:hideMark/>
          </w:tcPr>
          <w:p w14:paraId="771EE1BD" w14:textId="77777777" w:rsidR="00A61C07" w:rsidRPr="00A61C07" w:rsidRDefault="00A61C07" w:rsidP="00A61C07">
            <w:pPr>
              <w:ind w:firstLine="0"/>
              <w:jc w:val="center"/>
              <w:rPr>
                <w:sz w:val="22"/>
                <w:szCs w:val="22"/>
                <w:lang w:eastAsia="lt-LT"/>
              </w:rPr>
            </w:pPr>
            <w:r w:rsidRPr="00A61C07">
              <w:rPr>
                <w:sz w:val="22"/>
                <w:szCs w:val="22"/>
                <w:lang w:eastAsia="lt-LT"/>
              </w:rPr>
              <w:t>-104900</w:t>
            </w:r>
          </w:p>
        </w:tc>
        <w:tc>
          <w:tcPr>
            <w:tcW w:w="597" w:type="pct"/>
            <w:tcBorders>
              <w:top w:val="nil"/>
              <w:left w:val="nil"/>
              <w:bottom w:val="single" w:sz="4" w:space="0" w:color="auto"/>
              <w:right w:val="single" w:sz="4" w:space="0" w:color="auto"/>
            </w:tcBorders>
            <w:shd w:val="clear" w:color="000000" w:fill="FFFFFF"/>
            <w:noWrap/>
            <w:vAlign w:val="center"/>
            <w:hideMark/>
          </w:tcPr>
          <w:p w14:paraId="76C713E8" w14:textId="77777777" w:rsidR="00A61C07" w:rsidRPr="00A61C07" w:rsidRDefault="00A61C07" w:rsidP="00A61C07">
            <w:pPr>
              <w:ind w:firstLine="0"/>
              <w:jc w:val="center"/>
              <w:rPr>
                <w:sz w:val="22"/>
                <w:szCs w:val="22"/>
                <w:lang w:eastAsia="lt-LT"/>
              </w:rPr>
            </w:pPr>
            <w:r w:rsidRPr="00A61C07">
              <w:rPr>
                <w:sz w:val="22"/>
                <w:szCs w:val="22"/>
                <w:lang w:eastAsia="lt-LT"/>
              </w:rPr>
              <w:t>0</w:t>
            </w:r>
          </w:p>
        </w:tc>
      </w:tr>
      <w:tr w:rsidR="00A61C07" w:rsidRPr="00A61C07" w14:paraId="215FC772" w14:textId="77777777" w:rsidTr="00084E5E">
        <w:trPr>
          <w:trHeight w:val="66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896606F" w14:textId="77777777" w:rsidR="00A61C07" w:rsidRPr="00A61C07" w:rsidRDefault="00A61C07" w:rsidP="00A61C07">
            <w:pPr>
              <w:ind w:firstLine="0"/>
              <w:jc w:val="left"/>
              <w:rPr>
                <w:sz w:val="22"/>
                <w:szCs w:val="22"/>
                <w:lang w:eastAsia="lt-LT"/>
              </w:rPr>
            </w:pPr>
            <w:r w:rsidRPr="00A61C07">
              <w:rPr>
                <w:sz w:val="22"/>
                <w:szCs w:val="22"/>
                <w:lang w:eastAsia="lt-LT"/>
              </w:rPr>
              <w:t>Lėšos, skirtos asmeninei pagalbai teikti ir administruoti</w:t>
            </w:r>
          </w:p>
        </w:tc>
        <w:tc>
          <w:tcPr>
            <w:tcW w:w="682" w:type="pct"/>
            <w:tcBorders>
              <w:top w:val="nil"/>
              <w:left w:val="nil"/>
              <w:bottom w:val="single" w:sz="4" w:space="0" w:color="auto"/>
              <w:right w:val="single" w:sz="4" w:space="0" w:color="auto"/>
            </w:tcBorders>
            <w:shd w:val="clear" w:color="000000" w:fill="FFFFFF"/>
            <w:noWrap/>
            <w:vAlign w:val="center"/>
            <w:hideMark/>
          </w:tcPr>
          <w:p w14:paraId="3BFE67A1" w14:textId="77777777" w:rsidR="00A61C07" w:rsidRPr="00A61C07" w:rsidRDefault="00A61C07" w:rsidP="00A61C07">
            <w:pPr>
              <w:ind w:firstLine="0"/>
              <w:jc w:val="center"/>
              <w:rPr>
                <w:sz w:val="22"/>
                <w:szCs w:val="22"/>
                <w:lang w:eastAsia="lt-LT"/>
              </w:rPr>
            </w:pPr>
            <w:r w:rsidRPr="00A61C07">
              <w:rPr>
                <w:sz w:val="22"/>
                <w:szCs w:val="22"/>
                <w:lang w:eastAsia="lt-LT"/>
              </w:rPr>
              <w:t>88359</w:t>
            </w:r>
          </w:p>
        </w:tc>
        <w:tc>
          <w:tcPr>
            <w:tcW w:w="683" w:type="pct"/>
            <w:tcBorders>
              <w:top w:val="nil"/>
              <w:left w:val="nil"/>
              <w:bottom w:val="single" w:sz="4" w:space="0" w:color="auto"/>
              <w:right w:val="single" w:sz="4" w:space="0" w:color="auto"/>
            </w:tcBorders>
            <w:shd w:val="clear" w:color="auto" w:fill="auto"/>
            <w:noWrap/>
            <w:vAlign w:val="center"/>
            <w:hideMark/>
          </w:tcPr>
          <w:p w14:paraId="29DA5525" w14:textId="77777777" w:rsidR="00A61C07" w:rsidRPr="00A61C07" w:rsidRDefault="00A61C07" w:rsidP="00A61C07">
            <w:pPr>
              <w:ind w:firstLine="0"/>
              <w:jc w:val="center"/>
              <w:rPr>
                <w:sz w:val="22"/>
                <w:szCs w:val="22"/>
                <w:lang w:eastAsia="lt-LT"/>
              </w:rPr>
            </w:pPr>
            <w:r w:rsidRPr="00A61C07">
              <w:rPr>
                <w:sz w:val="22"/>
                <w:szCs w:val="22"/>
                <w:lang w:eastAsia="lt-LT"/>
              </w:rPr>
              <w:t>-8813</w:t>
            </w:r>
          </w:p>
        </w:tc>
        <w:tc>
          <w:tcPr>
            <w:tcW w:w="597" w:type="pct"/>
            <w:tcBorders>
              <w:top w:val="nil"/>
              <w:left w:val="nil"/>
              <w:bottom w:val="single" w:sz="4" w:space="0" w:color="auto"/>
              <w:right w:val="single" w:sz="4" w:space="0" w:color="auto"/>
            </w:tcBorders>
            <w:shd w:val="clear" w:color="000000" w:fill="FFFFFF"/>
            <w:noWrap/>
            <w:vAlign w:val="center"/>
            <w:hideMark/>
          </w:tcPr>
          <w:p w14:paraId="3801351F" w14:textId="77777777" w:rsidR="00A61C07" w:rsidRPr="00A61C07" w:rsidRDefault="00A61C07" w:rsidP="00A61C07">
            <w:pPr>
              <w:ind w:firstLine="0"/>
              <w:jc w:val="center"/>
              <w:rPr>
                <w:sz w:val="22"/>
                <w:szCs w:val="22"/>
                <w:lang w:eastAsia="lt-LT"/>
              </w:rPr>
            </w:pPr>
            <w:r w:rsidRPr="00A61C07">
              <w:rPr>
                <w:sz w:val="22"/>
                <w:szCs w:val="22"/>
                <w:lang w:eastAsia="lt-LT"/>
              </w:rPr>
              <w:t>79546</w:t>
            </w:r>
          </w:p>
        </w:tc>
      </w:tr>
      <w:tr w:rsidR="00A61C07" w:rsidRPr="00A61C07" w14:paraId="652BEBCB" w14:textId="77777777" w:rsidTr="00084E5E">
        <w:trPr>
          <w:trHeight w:val="57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72732A71" w14:textId="77777777" w:rsidR="00A61C07" w:rsidRPr="00A61C07" w:rsidRDefault="00A61C07" w:rsidP="00A61C07">
            <w:pPr>
              <w:ind w:firstLine="0"/>
              <w:jc w:val="left"/>
              <w:rPr>
                <w:sz w:val="22"/>
                <w:szCs w:val="22"/>
                <w:lang w:eastAsia="lt-LT"/>
              </w:rPr>
            </w:pPr>
            <w:r w:rsidRPr="00A61C07">
              <w:rPr>
                <w:sz w:val="22"/>
                <w:szCs w:val="22"/>
                <w:lang w:eastAsia="lt-LT"/>
              </w:rPr>
              <w:t>Lėšos, skirtos socialinės reabilitacijos paslaugų neįgaliesiems teikimo bendruomenėje projektams finansuoti</w:t>
            </w:r>
          </w:p>
        </w:tc>
        <w:tc>
          <w:tcPr>
            <w:tcW w:w="682" w:type="pct"/>
            <w:tcBorders>
              <w:top w:val="nil"/>
              <w:left w:val="nil"/>
              <w:bottom w:val="single" w:sz="4" w:space="0" w:color="auto"/>
              <w:right w:val="single" w:sz="4" w:space="0" w:color="auto"/>
            </w:tcBorders>
            <w:shd w:val="clear" w:color="000000" w:fill="FFFFFF"/>
            <w:noWrap/>
            <w:vAlign w:val="center"/>
            <w:hideMark/>
          </w:tcPr>
          <w:p w14:paraId="47301C93" w14:textId="77777777" w:rsidR="00A61C07" w:rsidRPr="00A61C07" w:rsidRDefault="00A61C07" w:rsidP="00A61C07">
            <w:pPr>
              <w:ind w:firstLine="0"/>
              <w:jc w:val="center"/>
              <w:rPr>
                <w:sz w:val="22"/>
                <w:szCs w:val="22"/>
                <w:lang w:eastAsia="lt-LT"/>
              </w:rPr>
            </w:pPr>
            <w:r w:rsidRPr="00A61C07">
              <w:rPr>
                <w:sz w:val="22"/>
                <w:szCs w:val="22"/>
                <w:lang w:eastAsia="lt-LT"/>
              </w:rPr>
              <w:t>31102</w:t>
            </w:r>
          </w:p>
        </w:tc>
        <w:tc>
          <w:tcPr>
            <w:tcW w:w="683" w:type="pct"/>
            <w:tcBorders>
              <w:top w:val="nil"/>
              <w:left w:val="nil"/>
              <w:bottom w:val="single" w:sz="4" w:space="0" w:color="auto"/>
              <w:right w:val="single" w:sz="4" w:space="0" w:color="auto"/>
            </w:tcBorders>
            <w:shd w:val="clear" w:color="auto" w:fill="auto"/>
            <w:noWrap/>
            <w:vAlign w:val="center"/>
            <w:hideMark/>
          </w:tcPr>
          <w:p w14:paraId="1BC5000E" w14:textId="77777777" w:rsidR="00A61C07" w:rsidRPr="00A61C07" w:rsidRDefault="00A61C07" w:rsidP="00A61C07">
            <w:pPr>
              <w:ind w:firstLine="0"/>
              <w:jc w:val="center"/>
              <w:rPr>
                <w:sz w:val="22"/>
                <w:szCs w:val="22"/>
                <w:lang w:eastAsia="lt-LT"/>
              </w:rPr>
            </w:pPr>
            <w:r w:rsidRPr="00A61C07">
              <w:rPr>
                <w:sz w:val="22"/>
                <w:szCs w:val="22"/>
                <w:lang w:eastAsia="lt-LT"/>
              </w:rPr>
              <w:t>13524</w:t>
            </w:r>
          </w:p>
        </w:tc>
        <w:tc>
          <w:tcPr>
            <w:tcW w:w="597" w:type="pct"/>
            <w:tcBorders>
              <w:top w:val="nil"/>
              <w:left w:val="nil"/>
              <w:bottom w:val="single" w:sz="4" w:space="0" w:color="auto"/>
              <w:right w:val="single" w:sz="4" w:space="0" w:color="auto"/>
            </w:tcBorders>
            <w:shd w:val="clear" w:color="000000" w:fill="FFFFFF"/>
            <w:noWrap/>
            <w:vAlign w:val="center"/>
            <w:hideMark/>
          </w:tcPr>
          <w:p w14:paraId="6F9FEBF4" w14:textId="77777777" w:rsidR="00A61C07" w:rsidRPr="00A61C07" w:rsidRDefault="00A61C07" w:rsidP="00A61C07">
            <w:pPr>
              <w:ind w:firstLine="0"/>
              <w:jc w:val="center"/>
              <w:rPr>
                <w:sz w:val="22"/>
                <w:szCs w:val="22"/>
                <w:lang w:eastAsia="lt-LT"/>
              </w:rPr>
            </w:pPr>
            <w:r w:rsidRPr="00A61C07">
              <w:rPr>
                <w:sz w:val="22"/>
                <w:szCs w:val="22"/>
                <w:lang w:eastAsia="lt-LT"/>
              </w:rPr>
              <w:t>44626</w:t>
            </w:r>
          </w:p>
        </w:tc>
      </w:tr>
      <w:tr w:rsidR="00A61C07" w:rsidRPr="00A61C07" w14:paraId="690A5A64" w14:textId="77777777" w:rsidTr="00084E5E">
        <w:trPr>
          <w:trHeight w:val="660"/>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6101CA33" w14:textId="77777777" w:rsidR="00A61C07" w:rsidRPr="00A61C07" w:rsidRDefault="00A61C07" w:rsidP="00A61C07">
            <w:pPr>
              <w:ind w:firstLine="0"/>
              <w:jc w:val="left"/>
              <w:rPr>
                <w:sz w:val="22"/>
                <w:szCs w:val="22"/>
                <w:lang w:eastAsia="lt-LT"/>
              </w:rPr>
            </w:pPr>
            <w:r w:rsidRPr="00A61C07">
              <w:rPr>
                <w:sz w:val="22"/>
                <w:szCs w:val="22"/>
                <w:lang w:eastAsia="lt-LT"/>
              </w:rPr>
              <w:t>Lėšos, skirtos neįgaliųjų būstui pritaikyti</w:t>
            </w:r>
          </w:p>
        </w:tc>
        <w:tc>
          <w:tcPr>
            <w:tcW w:w="682" w:type="pct"/>
            <w:tcBorders>
              <w:top w:val="nil"/>
              <w:left w:val="nil"/>
              <w:bottom w:val="single" w:sz="4" w:space="0" w:color="auto"/>
              <w:right w:val="single" w:sz="4" w:space="0" w:color="auto"/>
            </w:tcBorders>
            <w:shd w:val="clear" w:color="000000" w:fill="FFFFFF"/>
            <w:noWrap/>
            <w:vAlign w:val="center"/>
            <w:hideMark/>
          </w:tcPr>
          <w:p w14:paraId="1CB6DF3F" w14:textId="77777777" w:rsidR="00A61C07" w:rsidRPr="00A61C07" w:rsidRDefault="00A61C07" w:rsidP="00A61C07">
            <w:pPr>
              <w:ind w:firstLine="0"/>
              <w:jc w:val="center"/>
              <w:rPr>
                <w:sz w:val="22"/>
                <w:szCs w:val="22"/>
                <w:lang w:eastAsia="lt-LT"/>
              </w:rPr>
            </w:pPr>
            <w:r w:rsidRPr="00A61C07">
              <w:rPr>
                <w:sz w:val="22"/>
                <w:szCs w:val="22"/>
                <w:lang w:eastAsia="lt-LT"/>
              </w:rPr>
              <w:t>33665</w:t>
            </w:r>
          </w:p>
        </w:tc>
        <w:tc>
          <w:tcPr>
            <w:tcW w:w="683" w:type="pct"/>
            <w:tcBorders>
              <w:top w:val="nil"/>
              <w:left w:val="nil"/>
              <w:bottom w:val="single" w:sz="4" w:space="0" w:color="auto"/>
              <w:right w:val="single" w:sz="4" w:space="0" w:color="auto"/>
            </w:tcBorders>
            <w:shd w:val="clear" w:color="auto" w:fill="auto"/>
            <w:noWrap/>
            <w:vAlign w:val="center"/>
            <w:hideMark/>
          </w:tcPr>
          <w:p w14:paraId="2E9F29C3" w14:textId="77777777" w:rsidR="00A61C07" w:rsidRPr="00A61C07" w:rsidRDefault="00A61C07" w:rsidP="00A61C07">
            <w:pPr>
              <w:ind w:firstLine="0"/>
              <w:jc w:val="center"/>
              <w:rPr>
                <w:sz w:val="22"/>
                <w:szCs w:val="22"/>
                <w:lang w:eastAsia="lt-LT"/>
              </w:rPr>
            </w:pPr>
            <w:r w:rsidRPr="00A61C07">
              <w:rPr>
                <w:sz w:val="22"/>
                <w:szCs w:val="22"/>
                <w:lang w:eastAsia="lt-LT"/>
              </w:rPr>
              <w:t>-33665</w:t>
            </w:r>
          </w:p>
        </w:tc>
        <w:tc>
          <w:tcPr>
            <w:tcW w:w="597" w:type="pct"/>
            <w:tcBorders>
              <w:top w:val="nil"/>
              <w:left w:val="nil"/>
              <w:bottom w:val="single" w:sz="4" w:space="0" w:color="auto"/>
              <w:right w:val="single" w:sz="4" w:space="0" w:color="auto"/>
            </w:tcBorders>
            <w:shd w:val="clear" w:color="000000" w:fill="FFFFFF"/>
            <w:noWrap/>
            <w:vAlign w:val="center"/>
            <w:hideMark/>
          </w:tcPr>
          <w:p w14:paraId="2B11E852" w14:textId="77777777" w:rsidR="00A61C07" w:rsidRPr="00A61C07" w:rsidRDefault="00A61C07" w:rsidP="00A61C07">
            <w:pPr>
              <w:ind w:firstLine="0"/>
              <w:jc w:val="center"/>
              <w:rPr>
                <w:sz w:val="22"/>
                <w:szCs w:val="22"/>
                <w:lang w:eastAsia="lt-LT"/>
              </w:rPr>
            </w:pPr>
            <w:r w:rsidRPr="00A61C07">
              <w:rPr>
                <w:sz w:val="22"/>
                <w:szCs w:val="22"/>
                <w:lang w:eastAsia="lt-LT"/>
              </w:rPr>
              <w:t>0</w:t>
            </w:r>
          </w:p>
        </w:tc>
      </w:tr>
      <w:tr w:rsidR="00A61C07" w:rsidRPr="00A61C07" w14:paraId="3F99B893" w14:textId="77777777" w:rsidTr="00084E5E">
        <w:trPr>
          <w:trHeight w:val="780"/>
        </w:trPr>
        <w:tc>
          <w:tcPr>
            <w:tcW w:w="3038" w:type="pct"/>
            <w:tcBorders>
              <w:top w:val="nil"/>
              <w:left w:val="single" w:sz="4" w:space="0" w:color="auto"/>
              <w:bottom w:val="single" w:sz="4" w:space="0" w:color="auto"/>
              <w:right w:val="single" w:sz="4" w:space="0" w:color="auto"/>
            </w:tcBorders>
            <w:shd w:val="clear" w:color="000000" w:fill="FFFFFF"/>
            <w:vAlign w:val="center"/>
            <w:hideMark/>
          </w:tcPr>
          <w:p w14:paraId="4D3AAEE8" w14:textId="77777777" w:rsidR="00A61C07" w:rsidRPr="00A61C07" w:rsidRDefault="00A61C07" w:rsidP="00A61C07">
            <w:pPr>
              <w:ind w:firstLine="0"/>
              <w:jc w:val="left"/>
              <w:rPr>
                <w:sz w:val="22"/>
                <w:szCs w:val="22"/>
                <w:lang w:eastAsia="lt-LT"/>
              </w:rPr>
            </w:pPr>
            <w:r w:rsidRPr="00A61C07">
              <w:rPr>
                <w:sz w:val="22"/>
                <w:szCs w:val="22"/>
                <w:lang w:eastAsia="lt-LT"/>
              </w:rPr>
              <w:t>Lėšos, skirtos biudžetinių įstaigų vadovaujančių darbuotojų minimaliems pareiginės algos koeficientams padidinti</w:t>
            </w:r>
          </w:p>
        </w:tc>
        <w:tc>
          <w:tcPr>
            <w:tcW w:w="682" w:type="pct"/>
            <w:tcBorders>
              <w:top w:val="nil"/>
              <w:left w:val="nil"/>
              <w:bottom w:val="single" w:sz="4" w:space="0" w:color="auto"/>
              <w:right w:val="single" w:sz="4" w:space="0" w:color="auto"/>
            </w:tcBorders>
            <w:shd w:val="clear" w:color="000000" w:fill="FFFFFF"/>
            <w:noWrap/>
            <w:vAlign w:val="center"/>
            <w:hideMark/>
          </w:tcPr>
          <w:p w14:paraId="5F54C86E" w14:textId="77777777" w:rsidR="00A61C07" w:rsidRPr="00A61C07" w:rsidRDefault="00A61C07" w:rsidP="00A61C07">
            <w:pPr>
              <w:ind w:firstLine="0"/>
              <w:jc w:val="center"/>
              <w:rPr>
                <w:sz w:val="22"/>
                <w:szCs w:val="22"/>
                <w:lang w:eastAsia="lt-LT"/>
              </w:rPr>
            </w:pPr>
            <w:r w:rsidRPr="00A61C07">
              <w:rPr>
                <w:sz w:val="22"/>
                <w:szCs w:val="22"/>
                <w:lang w:eastAsia="lt-LT"/>
              </w:rPr>
              <w:t>21000</w:t>
            </w:r>
          </w:p>
        </w:tc>
        <w:tc>
          <w:tcPr>
            <w:tcW w:w="683" w:type="pct"/>
            <w:tcBorders>
              <w:top w:val="nil"/>
              <w:left w:val="nil"/>
              <w:bottom w:val="single" w:sz="4" w:space="0" w:color="auto"/>
              <w:right w:val="single" w:sz="4" w:space="0" w:color="auto"/>
            </w:tcBorders>
            <w:shd w:val="clear" w:color="auto" w:fill="auto"/>
            <w:noWrap/>
            <w:vAlign w:val="center"/>
            <w:hideMark/>
          </w:tcPr>
          <w:p w14:paraId="529A0F1C" w14:textId="77777777" w:rsidR="00A61C07" w:rsidRPr="00A61C07" w:rsidRDefault="00A61C07" w:rsidP="00A61C07">
            <w:pPr>
              <w:ind w:firstLine="0"/>
              <w:jc w:val="center"/>
              <w:rPr>
                <w:sz w:val="22"/>
                <w:szCs w:val="22"/>
                <w:lang w:eastAsia="lt-LT"/>
              </w:rPr>
            </w:pPr>
            <w:r w:rsidRPr="00A61C07">
              <w:rPr>
                <w:sz w:val="22"/>
                <w:szCs w:val="22"/>
                <w:lang w:eastAsia="lt-LT"/>
              </w:rPr>
              <w:t>-21000</w:t>
            </w:r>
          </w:p>
        </w:tc>
        <w:tc>
          <w:tcPr>
            <w:tcW w:w="597" w:type="pct"/>
            <w:tcBorders>
              <w:top w:val="nil"/>
              <w:left w:val="nil"/>
              <w:bottom w:val="single" w:sz="4" w:space="0" w:color="auto"/>
              <w:right w:val="single" w:sz="4" w:space="0" w:color="auto"/>
            </w:tcBorders>
            <w:shd w:val="clear" w:color="000000" w:fill="FFFFFF"/>
            <w:noWrap/>
            <w:vAlign w:val="center"/>
            <w:hideMark/>
          </w:tcPr>
          <w:p w14:paraId="7B427544" w14:textId="77777777" w:rsidR="00A61C07" w:rsidRPr="00A61C07" w:rsidRDefault="00A61C07" w:rsidP="00A61C07">
            <w:pPr>
              <w:ind w:firstLine="0"/>
              <w:jc w:val="center"/>
              <w:rPr>
                <w:sz w:val="22"/>
                <w:szCs w:val="22"/>
                <w:lang w:eastAsia="lt-LT"/>
              </w:rPr>
            </w:pPr>
            <w:r w:rsidRPr="00A61C07">
              <w:rPr>
                <w:sz w:val="22"/>
                <w:szCs w:val="22"/>
                <w:lang w:eastAsia="lt-LT"/>
              </w:rPr>
              <w:t>0</w:t>
            </w:r>
          </w:p>
        </w:tc>
      </w:tr>
      <w:tr w:rsidR="00A61C07" w:rsidRPr="00A61C07" w14:paraId="1C894B76" w14:textId="77777777" w:rsidTr="00084E5E">
        <w:trPr>
          <w:trHeight w:val="85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074AB772" w14:textId="457C762D" w:rsidR="00A61C07" w:rsidRPr="00A61C07" w:rsidRDefault="00A61C07" w:rsidP="00A61C07">
            <w:pPr>
              <w:ind w:firstLine="0"/>
              <w:jc w:val="left"/>
              <w:rPr>
                <w:sz w:val="22"/>
                <w:szCs w:val="22"/>
                <w:lang w:eastAsia="lt-LT"/>
              </w:rPr>
            </w:pPr>
            <w:r w:rsidRPr="00A61C07">
              <w:rPr>
                <w:sz w:val="22"/>
                <w:szCs w:val="22"/>
                <w:lang w:eastAsia="lt-LT"/>
              </w:rPr>
              <w:t>Lėšos, skirtos kompensacijoms už būsto suteikimą užsieniečiams, pasitraukusie</w:t>
            </w:r>
            <w:r w:rsidR="00084E5E">
              <w:rPr>
                <w:sz w:val="22"/>
                <w:szCs w:val="22"/>
                <w:lang w:eastAsia="lt-LT"/>
              </w:rPr>
              <w:t>m</w:t>
            </w:r>
            <w:r w:rsidRPr="00A61C07">
              <w:rPr>
                <w:sz w:val="22"/>
                <w:szCs w:val="22"/>
                <w:lang w:eastAsia="lt-LT"/>
              </w:rPr>
              <w:t>s iš Ukrainos dėl Rusijos Federacijos karinių veiksmų Ukrainoje, finansuoti</w:t>
            </w:r>
          </w:p>
        </w:tc>
        <w:tc>
          <w:tcPr>
            <w:tcW w:w="682" w:type="pct"/>
            <w:tcBorders>
              <w:top w:val="nil"/>
              <w:left w:val="nil"/>
              <w:bottom w:val="single" w:sz="4" w:space="0" w:color="auto"/>
              <w:right w:val="single" w:sz="4" w:space="0" w:color="auto"/>
            </w:tcBorders>
            <w:shd w:val="clear" w:color="000000" w:fill="FFFFFF"/>
            <w:noWrap/>
            <w:vAlign w:val="center"/>
            <w:hideMark/>
          </w:tcPr>
          <w:p w14:paraId="586C544C" w14:textId="77777777" w:rsidR="00A61C07" w:rsidRPr="00A61C07" w:rsidRDefault="00A61C07" w:rsidP="00A61C07">
            <w:pPr>
              <w:ind w:firstLine="0"/>
              <w:jc w:val="center"/>
              <w:rPr>
                <w:sz w:val="22"/>
                <w:szCs w:val="22"/>
                <w:lang w:eastAsia="lt-LT"/>
              </w:rPr>
            </w:pPr>
            <w:r w:rsidRPr="00A61C07">
              <w:rPr>
                <w:sz w:val="22"/>
                <w:szCs w:val="22"/>
                <w:lang w:eastAsia="lt-LT"/>
              </w:rPr>
              <w:t>0</w:t>
            </w:r>
          </w:p>
        </w:tc>
        <w:tc>
          <w:tcPr>
            <w:tcW w:w="683" w:type="pct"/>
            <w:tcBorders>
              <w:top w:val="nil"/>
              <w:left w:val="nil"/>
              <w:bottom w:val="single" w:sz="4" w:space="0" w:color="auto"/>
              <w:right w:val="single" w:sz="4" w:space="0" w:color="auto"/>
            </w:tcBorders>
            <w:shd w:val="clear" w:color="auto" w:fill="auto"/>
            <w:noWrap/>
            <w:vAlign w:val="center"/>
            <w:hideMark/>
          </w:tcPr>
          <w:p w14:paraId="4EEAD72D" w14:textId="77777777" w:rsidR="00A61C07" w:rsidRPr="00A61C07" w:rsidRDefault="00A61C07" w:rsidP="00A61C07">
            <w:pPr>
              <w:ind w:firstLine="0"/>
              <w:jc w:val="center"/>
              <w:rPr>
                <w:sz w:val="22"/>
                <w:szCs w:val="22"/>
                <w:lang w:eastAsia="lt-LT"/>
              </w:rPr>
            </w:pPr>
            <w:r w:rsidRPr="00A61C07">
              <w:rPr>
                <w:sz w:val="22"/>
                <w:szCs w:val="22"/>
                <w:lang w:eastAsia="lt-LT"/>
              </w:rPr>
              <w:t>15000</w:t>
            </w:r>
          </w:p>
        </w:tc>
        <w:tc>
          <w:tcPr>
            <w:tcW w:w="597" w:type="pct"/>
            <w:tcBorders>
              <w:top w:val="nil"/>
              <w:left w:val="nil"/>
              <w:bottom w:val="single" w:sz="4" w:space="0" w:color="auto"/>
              <w:right w:val="single" w:sz="4" w:space="0" w:color="auto"/>
            </w:tcBorders>
            <w:shd w:val="clear" w:color="000000" w:fill="FFFFFF"/>
            <w:noWrap/>
            <w:vAlign w:val="center"/>
            <w:hideMark/>
          </w:tcPr>
          <w:p w14:paraId="224DC4F2" w14:textId="77777777" w:rsidR="00A61C07" w:rsidRPr="00A61C07" w:rsidRDefault="00A61C07" w:rsidP="00A61C07">
            <w:pPr>
              <w:ind w:firstLine="0"/>
              <w:jc w:val="center"/>
              <w:rPr>
                <w:sz w:val="22"/>
                <w:szCs w:val="22"/>
                <w:lang w:eastAsia="lt-LT"/>
              </w:rPr>
            </w:pPr>
            <w:r w:rsidRPr="00A61C07">
              <w:rPr>
                <w:sz w:val="22"/>
                <w:szCs w:val="22"/>
                <w:lang w:eastAsia="lt-LT"/>
              </w:rPr>
              <w:t>15000</w:t>
            </w:r>
          </w:p>
        </w:tc>
      </w:tr>
      <w:tr w:rsidR="00A61C07" w:rsidRPr="00A61C07" w14:paraId="71266C89" w14:textId="77777777" w:rsidTr="00084E5E">
        <w:trPr>
          <w:trHeight w:val="1650"/>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5A20B5A6" w14:textId="3BE64DE0" w:rsidR="00A61C07" w:rsidRPr="00A61C07" w:rsidRDefault="00A61C07" w:rsidP="00A61C07">
            <w:pPr>
              <w:ind w:firstLine="0"/>
              <w:jc w:val="left"/>
              <w:rPr>
                <w:sz w:val="22"/>
                <w:szCs w:val="22"/>
                <w:lang w:eastAsia="lt-LT"/>
              </w:rPr>
            </w:pPr>
            <w:r w:rsidRPr="00A61C07">
              <w:rPr>
                <w:sz w:val="22"/>
                <w:szCs w:val="22"/>
                <w:lang w:eastAsia="lt-LT"/>
              </w:rPr>
              <w:t>Lėšos išmokai auginantiems vaikus iki 18 m. (besimokančius bendrojo lavinimo mokykloje, profesinėje, aukštesniojoje mokykloje ar aukštojoje mokykloje dienine forma - iki 24 m.) neįgaliesiems, kurie Neįgalumo ir darbingumo nustatymo tarnybos prie SADM yra pripažinti nedarbingi ir kurių šeimose nėra darbingų asmenų</w:t>
            </w:r>
          </w:p>
        </w:tc>
        <w:tc>
          <w:tcPr>
            <w:tcW w:w="682" w:type="pct"/>
            <w:tcBorders>
              <w:top w:val="nil"/>
              <w:left w:val="nil"/>
              <w:bottom w:val="single" w:sz="4" w:space="0" w:color="auto"/>
              <w:right w:val="single" w:sz="4" w:space="0" w:color="auto"/>
            </w:tcBorders>
            <w:shd w:val="clear" w:color="000000" w:fill="FFFFFF"/>
            <w:noWrap/>
            <w:vAlign w:val="center"/>
            <w:hideMark/>
          </w:tcPr>
          <w:p w14:paraId="33E57B98" w14:textId="77777777" w:rsidR="00A61C07" w:rsidRPr="00A61C07" w:rsidRDefault="00A61C07" w:rsidP="00A61C07">
            <w:pPr>
              <w:ind w:firstLine="0"/>
              <w:jc w:val="center"/>
              <w:rPr>
                <w:sz w:val="22"/>
                <w:szCs w:val="22"/>
                <w:lang w:eastAsia="lt-LT"/>
              </w:rPr>
            </w:pPr>
            <w:r w:rsidRPr="00A61C07">
              <w:rPr>
                <w:sz w:val="22"/>
                <w:szCs w:val="22"/>
                <w:lang w:eastAsia="lt-LT"/>
              </w:rPr>
              <w:t>0</w:t>
            </w:r>
          </w:p>
        </w:tc>
        <w:tc>
          <w:tcPr>
            <w:tcW w:w="683" w:type="pct"/>
            <w:tcBorders>
              <w:top w:val="nil"/>
              <w:left w:val="nil"/>
              <w:bottom w:val="single" w:sz="4" w:space="0" w:color="auto"/>
              <w:right w:val="single" w:sz="4" w:space="0" w:color="auto"/>
            </w:tcBorders>
            <w:shd w:val="clear" w:color="auto" w:fill="auto"/>
            <w:noWrap/>
            <w:vAlign w:val="center"/>
            <w:hideMark/>
          </w:tcPr>
          <w:p w14:paraId="05C34B57" w14:textId="77777777" w:rsidR="00A61C07" w:rsidRPr="00A61C07" w:rsidRDefault="00A61C07" w:rsidP="00A61C07">
            <w:pPr>
              <w:ind w:firstLine="0"/>
              <w:jc w:val="center"/>
              <w:rPr>
                <w:sz w:val="22"/>
                <w:szCs w:val="22"/>
                <w:lang w:eastAsia="lt-LT"/>
              </w:rPr>
            </w:pPr>
            <w:r w:rsidRPr="00A61C07">
              <w:rPr>
                <w:sz w:val="22"/>
                <w:szCs w:val="22"/>
                <w:lang w:eastAsia="lt-LT"/>
              </w:rPr>
              <w:t>180</w:t>
            </w:r>
          </w:p>
        </w:tc>
        <w:tc>
          <w:tcPr>
            <w:tcW w:w="597" w:type="pct"/>
            <w:tcBorders>
              <w:top w:val="nil"/>
              <w:left w:val="nil"/>
              <w:bottom w:val="single" w:sz="4" w:space="0" w:color="auto"/>
              <w:right w:val="single" w:sz="4" w:space="0" w:color="auto"/>
            </w:tcBorders>
            <w:shd w:val="clear" w:color="000000" w:fill="FFFFFF"/>
            <w:noWrap/>
            <w:vAlign w:val="center"/>
            <w:hideMark/>
          </w:tcPr>
          <w:p w14:paraId="302E0945" w14:textId="77777777" w:rsidR="00A61C07" w:rsidRPr="00A61C07" w:rsidRDefault="00A61C07" w:rsidP="00A61C07">
            <w:pPr>
              <w:ind w:firstLine="0"/>
              <w:jc w:val="center"/>
              <w:rPr>
                <w:sz w:val="22"/>
                <w:szCs w:val="22"/>
                <w:lang w:eastAsia="lt-LT"/>
              </w:rPr>
            </w:pPr>
            <w:r w:rsidRPr="00A61C07">
              <w:rPr>
                <w:sz w:val="22"/>
                <w:szCs w:val="22"/>
                <w:lang w:eastAsia="lt-LT"/>
              </w:rPr>
              <w:t>180</w:t>
            </w:r>
          </w:p>
        </w:tc>
      </w:tr>
      <w:tr w:rsidR="00A61C07" w:rsidRPr="00A61C07" w14:paraId="119B21B0" w14:textId="77777777" w:rsidTr="00084E5E">
        <w:trPr>
          <w:trHeight w:val="1215"/>
        </w:trPr>
        <w:tc>
          <w:tcPr>
            <w:tcW w:w="3038" w:type="pct"/>
            <w:tcBorders>
              <w:top w:val="nil"/>
              <w:left w:val="single" w:sz="4" w:space="0" w:color="auto"/>
              <w:bottom w:val="single" w:sz="4" w:space="0" w:color="auto"/>
              <w:right w:val="single" w:sz="4" w:space="0" w:color="auto"/>
            </w:tcBorders>
            <w:shd w:val="clear" w:color="auto" w:fill="auto"/>
            <w:vAlign w:val="center"/>
            <w:hideMark/>
          </w:tcPr>
          <w:p w14:paraId="6A1EC71E" w14:textId="77777777" w:rsidR="00A61C07" w:rsidRPr="00A61C07" w:rsidRDefault="00A61C07" w:rsidP="00A61C07">
            <w:pPr>
              <w:ind w:firstLine="0"/>
              <w:jc w:val="left"/>
              <w:rPr>
                <w:sz w:val="22"/>
                <w:szCs w:val="22"/>
                <w:lang w:eastAsia="lt-LT"/>
              </w:rPr>
            </w:pPr>
            <w:r w:rsidRPr="00A61C07">
              <w:rPr>
                <w:sz w:val="22"/>
                <w:szCs w:val="22"/>
                <w:lang w:eastAsia="lt-LT"/>
              </w:rPr>
              <w:t>Lėšos, skirtos vienkartinėms išmokoms įsikurti gyvenamojoje vietoje savivaldybės teritorijoje ir (ar) mėnesinėms kompensacijoms vaiko ugdymo pagal ikimokyklinio  ar priešmokyklinio ugdymo programą išlaidoms finansuoti</w:t>
            </w:r>
          </w:p>
        </w:tc>
        <w:tc>
          <w:tcPr>
            <w:tcW w:w="682" w:type="pct"/>
            <w:tcBorders>
              <w:top w:val="nil"/>
              <w:left w:val="nil"/>
              <w:bottom w:val="single" w:sz="4" w:space="0" w:color="auto"/>
              <w:right w:val="single" w:sz="4" w:space="0" w:color="auto"/>
            </w:tcBorders>
            <w:shd w:val="clear" w:color="000000" w:fill="FFFFFF"/>
            <w:noWrap/>
            <w:vAlign w:val="center"/>
            <w:hideMark/>
          </w:tcPr>
          <w:p w14:paraId="39C9B3C6" w14:textId="77777777" w:rsidR="00A61C07" w:rsidRPr="00A61C07" w:rsidRDefault="00A61C07" w:rsidP="00A61C07">
            <w:pPr>
              <w:ind w:firstLine="0"/>
              <w:jc w:val="center"/>
              <w:rPr>
                <w:sz w:val="22"/>
                <w:szCs w:val="22"/>
                <w:lang w:eastAsia="lt-LT"/>
              </w:rPr>
            </w:pPr>
            <w:r w:rsidRPr="00A61C07">
              <w:rPr>
                <w:sz w:val="22"/>
                <w:szCs w:val="22"/>
                <w:lang w:eastAsia="lt-LT"/>
              </w:rPr>
              <w:t>0</w:t>
            </w:r>
          </w:p>
        </w:tc>
        <w:tc>
          <w:tcPr>
            <w:tcW w:w="683" w:type="pct"/>
            <w:tcBorders>
              <w:top w:val="nil"/>
              <w:left w:val="nil"/>
              <w:bottom w:val="single" w:sz="4" w:space="0" w:color="auto"/>
              <w:right w:val="single" w:sz="4" w:space="0" w:color="auto"/>
            </w:tcBorders>
            <w:shd w:val="clear" w:color="auto" w:fill="auto"/>
            <w:noWrap/>
            <w:vAlign w:val="center"/>
            <w:hideMark/>
          </w:tcPr>
          <w:p w14:paraId="0A027FA9" w14:textId="77777777" w:rsidR="00A61C07" w:rsidRPr="00A61C07" w:rsidRDefault="00A61C07" w:rsidP="00A61C07">
            <w:pPr>
              <w:ind w:firstLine="0"/>
              <w:jc w:val="center"/>
              <w:rPr>
                <w:sz w:val="22"/>
                <w:szCs w:val="22"/>
                <w:lang w:eastAsia="lt-LT"/>
              </w:rPr>
            </w:pPr>
            <w:r w:rsidRPr="00A61C07">
              <w:rPr>
                <w:sz w:val="22"/>
                <w:szCs w:val="22"/>
                <w:lang w:eastAsia="lt-LT"/>
              </w:rPr>
              <w:t>100</w:t>
            </w:r>
          </w:p>
        </w:tc>
        <w:tc>
          <w:tcPr>
            <w:tcW w:w="597" w:type="pct"/>
            <w:tcBorders>
              <w:top w:val="nil"/>
              <w:left w:val="nil"/>
              <w:bottom w:val="single" w:sz="4" w:space="0" w:color="auto"/>
              <w:right w:val="single" w:sz="4" w:space="0" w:color="auto"/>
            </w:tcBorders>
            <w:shd w:val="clear" w:color="000000" w:fill="FFFFFF"/>
            <w:noWrap/>
            <w:vAlign w:val="center"/>
            <w:hideMark/>
          </w:tcPr>
          <w:p w14:paraId="1CE829DF" w14:textId="77777777" w:rsidR="00A61C07" w:rsidRPr="00A61C07" w:rsidRDefault="00A61C07" w:rsidP="00A61C07">
            <w:pPr>
              <w:ind w:firstLine="0"/>
              <w:jc w:val="center"/>
              <w:rPr>
                <w:sz w:val="22"/>
                <w:szCs w:val="22"/>
                <w:lang w:eastAsia="lt-LT"/>
              </w:rPr>
            </w:pPr>
            <w:r w:rsidRPr="00A61C07">
              <w:rPr>
                <w:sz w:val="22"/>
                <w:szCs w:val="22"/>
                <w:lang w:eastAsia="lt-LT"/>
              </w:rPr>
              <w:t>100</w:t>
            </w:r>
          </w:p>
        </w:tc>
      </w:tr>
    </w:tbl>
    <w:p w14:paraId="110EDA13" w14:textId="77777777" w:rsidR="00314ABC" w:rsidRPr="00314ABC" w:rsidRDefault="00314ABC" w:rsidP="00C55789">
      <w:pPr>
        <w:spacing w:line="360" w:lineRule="auto"/>
        <w:ind w:firstLine="992"/>
        <w:rPr>
          <w:sz w:val="16"/>
          <w:szCs w:val="16"/>
        </w:rPr>
      </w:pPr>
    </w:p>
    <w:p w14:paraId="7AB65CD0" w14:textId="6996D3C9" w:rsidR="00922AD2" w:rsidRPr="00C55789" w:rsidRDefault="00197F94" w:rsidP="00C55789">
      <w:pPr>
        <w:spacing w:line="360" w:lineRule="auto"/>
        <w:ind w:firstLine="992"/>
        <w:rPr>
          <w:i/>
          <w:iCs/>
          <w:sz w:val="24"/>
          <w:szCs w:val="24"/>
        </w:rPr>
      </w:pPr>
      <w:r w:rsidRPr="00E864BF">
        <w:rPr>
          <w:sz w:val="24"/>
          <w:szCs w:val="24"/>
        </w:rPr>
        <w:t>Vadovaujantis 20</w:t>
      </w:r>
      <w:r>
        <w:rPr>
          <w:sz w:val="24"/>
          <w:szCs w:val="24"/>
        </w:rPr>
        <w:t>2</w:t>
      </w:r>
      <w:r w:rsidR="00A10490">
        <w:rPr>
          <w:sz w:val="24"/>
          <w:szCs w:val="24"/>
        </w:rPr>
        <w:t>3</w:t>
      </w:r>
      <w:r w:rsidRPr="00E864BF">
        <w:rPr>
          <w:sz w:val="24"/>
          <w:szCs w:val="24"/>
        </w:rPr>
        <w:t xml:space="preserve"> metų Valstybės biudžeto ir savivaldybių biudžetų finansinių rodiklių patvirtinimo įstatymo </w:t>
      </w:r>
      <w:r w:rsidR="00774441">
        <w:rPr>
          <w:sz w:val="24"/>
          <w:szCs w:val="24"/>
        </w:rPr>
        <w:t>3</w:t>
      </w:r>
      <w:r w:rsidRPr="00E864BF">
        <w:rPr>
          <w:sz w:val="24"/>
          <w:szCs w:val="24"/>
        </w:rPr>
        <w:t xml:space="preserve"> straipsnio 3 dalimi Europos Sąjungos ir kitos tarptautinės paramos bei bendrojo finansavimo lėšos turi būti įskaitomos į Savivaldybės biudžetą. 202</w:t>
      </w:r>
      <w:r w:rsidR="00774441">
        <w:rPr>
          <w:sz w:val="24"/>
          <w:szCs w:val="24"/>
        </w:rPr>
        <w:t>3</w:t>
      </w:r>
      <w:r w:rsidR="007D073B">
        <w:rPr>
          <w:sz w:val="24"/>
          <w:szCs w:val="24"/>
        </w:rPr>
        <w:t xml:space="preserve">  </w:t>
      </w:r>
      <w:r w:rsidRPr="00E864BF">
        <w:rPr>
          <w:sz w:val="24"/>
          <w:szCs w:val="24"/>
        </w:rPr>
        <w:t xml:space="preserve">metų biudžete Europos Sąjungos finansinės paramos ir bendrojo finansavimo lėšos sudaro </w:t>
      </w:r>
      <w:r w:rsidR="00774441">
        <w:rPr>
          <w:sz w:val="24"/>
          <w:szCs w:val="24"/>
        </w:rPr>
        <w:t>180,4</w:t>
      </w:r>
      <w:r w:rsidRPr="00E864BF">
        <w:rPr>
          <w:sz w:val="24"/>
          <w:szCs w:val="24"/>
        </w:rPr>
        <w:t xml:space="preserve"> tūkst. eurų , </w:t>
      </w:r>
      <w:r w:rsidRPr="00A4791C">
        <w:rPr>
          <w:sz w:val="24"/>
          <w:szCs w:val="24"/>
        </w:rPr>
        <w:t xml:space="preserve">iš jų didžiausią dalį sudaro: projekto </w:t>
      </w:r>
      <w:r w:rsidR="003D187B">
        <w:rPr>
          <w:sz w:val="24"/>
          <w:szCs w:val="24"/>
        </w:rPr>
        <w:t>„</w:t>
      </w:r>
      <w:r w:rsidR="003D187B" w:rsidRPr="003D187B">
        <w:rPr>
          <w:sz w:val="24"/>
          <w:szCs w:val="24"/>
        </w:rPr>
        <w:t>Atviros ekosistemos atsiskaitymams negrynaisiais pinigais bendrojo ugdymo įstaigų valgyklose kūrimas</w:t>
      </w:r>
      <w:r w:rsidR="003D187B">
        <w:rPr>
          <w:sz w:val="24"/>
          <w:szCs w:val="24"/>
        </w:rPr>
        <w:t>“</w:t>
      </w:r>
      <w:r w:rsidRPr="00A4791C">
        <w:rPr>
          <w:sz w:val="24"/>
          <w:szCs w:val="24"/>
        </w:rPr>
        <w:t xml:space="preserve"> – </w:t>
      </w:r>
      <w:r w:rsidR="003D187B">
        <w:rPr>
          <w:sz w:val="24"/>
          <w:szCs w:val="24"/>
        </w:rPr>
        <w:t>46,6</w:t>
      </w:r>
      <w:r w:rsidRPr="00A4791C">
        <w:rPr>
          <w:sz w:val="24"/>
          <w:szCs w:val="24"/>
        </w:rPr>
        <w:t xml:space="preserve"> tūkst. eurų, projekto </w:t>
      </w:r>
      <w:r>
        <w:rPr>
          <w:sz w:val="24"/>
          <w:szCs w:val="24"/>
        </w:rPr>
        <w:t>„</w:t>
      </w:r>
      <w:r w:rsidRPr="00A4791C">
        <w:rPr>
          <w:sz w:val="24"/>
          <w:szCs w:val="24"/>
        </w:rPr>
        <w:t>Kompleksinių paslaugų šeimai teikimas Kupiškio rajono savivaldybėje</w:t>
      </w:r>
      <w:r>
        <w:rPr>
          <w:sz w:val="24"/>
          <w:szCs w:val="24"/>
        </w:rPr>
        <w:t xml:space="preserve">“ </w:t>
      </w:r>
      <w:r w:rsidRPr="00A4791C">
        <w:rPr>
          <w:sz w:val="24"/>
          <w:szCs w:val="24"/>
        </w:rPr>
        <w:t xml:space="preserve">– </w:t>
      </w:r>
      <w:r w:rsidR="00C55789">
        <w:rPr>
          <w:sz w:val="24"/>
          <w:szCs w:val="24"/>
        </w:rPr>
        <w:t>15</w:t>
      </w:r>
      <w:r w:rsidRPr="00A4791C">
        <w:rPr>
          <w:sz w:val="24"/>
          <w:szCs w:val="24"/>
        </w:rPr>
        <w:t xml:space="preserve"> tūkst. eurų, projekto </w:t>
      </w:r>
      <w:r w:rsidRPr="00C55789">
        <w:rPr>
          <w:sz w:val="24"/>
          <w:szCs w:val="24"/>
        </w:rPr>
        <w:t>„</w:t>
      </w:r>
      <w:r w:rsidR="00C55789" w:rsidRPr="00C55789">
        <w:rPr>
          <w:sz w:val="24"/>
          <w:szCs w:val="24"/>
        </w:rPr>
        <w:t>Kraštovaizdžio apsauga Kupiškio rajono savivaldybėje</w:t>
      </w:r>
      <w:r w:rsidRPr="00C55789">
        <w:rPr>
          <w:sz w:val="24"/>
          <w:szCs w:val="24"/>
        </w:rPr>
        <w:t>“</w:t>
      </w:r>
      <w:r w:rsidRPr="00A4791C">
        <w:rPr>
          <w:sz w:val="24"/>
          <w:szCs w:val="24"/>
        </w:rPr>
        <w:t xml:space="preserve"> – </w:t>
      </w:r>
      <w:r w:rsidR="00C55789">
        <w:rPr>
          <w:sz w:val="24"/>
          <w:szCs w:val="24"/>
        </w:rPr>
        <w:t>46,2</w:t>
      </w:r>
      <w:r w:rsidRPr="00A4791C">
        <w:rPr>
          <w:sz w:val="24"/>
          <w:szCs w:val="24"/>
        </w:rPr>
        <w:t xml:space="preserve"> tūkst. eurų</w:t>
      </w:r>
      <w:r w:rsidR="00922AD2">
        <w:rPr>
          <w:sz w:val="24"/>
          <w:szCs w:val="24"/>
        </w:rPr>
        <w:t xml:space="preserve">; </w:t>
      </w:r>
      <w:r w:rsidR="00E8363E">
        <w:rPr>
          <w:sz w:val="24"/>
          <w:szCs w:val="24"/>
        </w:rPr>
        <w:t>projekto „</w:t>
      </w:r>
      <w:r w:rsidR="00E8363E" w:rsidRPr="00E8363E">
        <w:rPr>
          <w:sz w:val="24"/>
          <w:szCs w:val="24"/>
        </w:rPr>
        <w:t>Bendruomeninių vaikų globos namų dienos centrų tinklo</w:t>
      </w:r>
      <w:r w:rsidR="00E8363E">
        <w:rPr>
          <w:sz w:val="24"/>
          <w:szCs w:val="24"/>
        </w:rPr>
        <w:t xml:space="preserve"> </w:t>
      </w:r>
      <w:r w:rsidR="00E8363E" w:rsidRPr="00E8363E">
        <w:rPr>
          <w:sz w:val="24"/>
          <w:szCs w:val="24"/>
        </w:rPr>
        <w:t>plėtra Kupiškio rajono savivaldybėje</w:t>
      </w:r>
      <w:r w:rsidR="0076752D">
        <w:rPr>
          <w:sz w:val="24"/>
          <w:szCs w:val="24"/>
        </w:rPr>
        <w:t xml:space="preserve"> – </w:t>
      </w:r>
      <w:r w:rsidR="00E8363E">
        <w:rPr>
          <w:sz w:val="24"/>
          <w:szCs w:val="24"/>
        </w:rPr>
        <w:t>30</w:t>
      </w:r>
      <w:r w:rsidR="0076752D">
        <w:rPr>
          <w:sz w:val="24"/>
          <w:szCs w:val="24"/>
        </w:rPr>
        <w:t xml:space="preserve"> tūkst. eurų</w:t>
      </w:r>
      <w:r w:rsidR="0076752D" w:rsidRPr="0076752D">
        <w:rPr>
          <w:sz w:val="24"/>
          <w:szCs w:val="24"/>
        </w:rPr>
        <w:t>; projekto „</w:t>
      </w:r>
      <w:r w:rsidR="00C02722" w:rsidRPr="00C02722">
        <w:rPr>
          <w:sz w:val="24"/>
          <w:szCs w:val="24"/>
        </w:rPr>
        <w:t>Kupiškio r. Šimonių sen. Šimonių mstl.</w:t>
      </w:r>
      <w:r w:rsidR="00C02722">
        <w:rPr>
          <w:sz w:val="24"/>
          <w:szCs w:val="24"/>
        </w:rPr>
        <w:t xml:space="preserve"> </w:t>
      </w:r>
      <w:r w:rsidR="00C02722" w:rsidRPr="00C02722">
        <w:rPr>
          <w:sz w:val="24"/>
          <w:szCs w:val="24"/>
        </w:rPr>
        <w:t>centrinės dalies viešųjų erdvių sutvarkymas</w:t>
      </w:r>
      <w:r w:rsidR="0076752D">
        <w:rPr>
          <w:sz w:val="24"/>
          <w:szCs w:val="24"/>
        </w:rPr>
        <w:t xml:space="preserve">“ – </w:t>
      </w:r>
      <w:r w:rsidR="00C02722">
        <w:rPr>
          <w:sz w:val="24"/>
          <w:szCs w:val="24"/>
        </w:rPr>
        <w:t>22,3</w:t>
      </w:r>
      <w:r w:rsidR="0076752D">
        <w:rPr>
          <w:sz w:val="24"/>
          <w:szCs w:val="24"/>
        </w:rPr>
        <w:t xml:space="preserve"> tūkst. eurų.</w:t>
      </w:r>
    </w:p>
    <w:p w14:paraId="4E052400" w14:textId="77777777" w:rsidR="0076752D" w:rsidRDefault="0076752D" w:rsidP="008021EC">
      <w:pPr>
        <w:spacing w:line="360" w:lineRule="auto"/>
        <w:ind w:firstLine="992"/>
        <w:jc w:val="center"/>
        <w:rPr>
          <w:b/>
          <w:sz w:val="24"/>
          <w:szCs w:val="24"/>
        </w:rPr>
      </w:pPr>
    </w:p>
    <w:p w14:paraId="6A476706" w14:textId="77777777" w:rsidR="00BC6AC2" w:rsidRDefault="00BC6AC2" w:rsidP="008021EC">
      <w:pPr>
        <w:spacing w:line="360" w:lineRule="auto"/>
        <w:ind w:firstLine="992"/>
        <w:jc w:val="center"/>
        <w:rPr>
          <w:b/>
          <w:sz w:val="24"/>
          <w:szCs w:val="24"/>
        </w:rPr>
      </w:pPr>
    </w:p>
    <w:p w14:paraId="66C00340" w14:textId="1155D0E6" w:rsidR="00D84709" w:rsidRDefault="00193F15" w:rsidP="006708BE">
      <w:pPr>
        <w:spacing w:line="360" w:lineRule="auto"/>
        <w:ind w:firstLine="992"/>
        <w:jc w:val="center"/>
        <w:rPr>
          <w:b/>
          <w:sz w:val="24"/>
          <w:szCs w:val="24"/>
        </w:rPr>
      </w:pPr>
      <w:r>
        <w:rPr>
          <w:b/>
          <w:sz w:val="24"/>
          <w:szCs w:val="24"/>
        </w:rPr>
        <w:lastRenderedPageBreak/>
        <w:t>S</w:t>
      </w:r>
      <w:r w:rsidRPr="00E864BF">
        <w:rPr>
          <w:b/>
          <w:sz w:val="24"/>
          <w:szCs w:val="24"/>
        </w:rPr>
        <w:t>avivaldyb</w:t>
      </w:r>
      <w:r>
        <w:rPr>
          <w:b/>
          <w:sz w:val="24"/>
          <w:szCs w:val="24"/>
        </w:rPr>
        <w:t>ės 202</w:t>
      </w:r>
      <w:r w:rsidR="00260095">
        <w:rPr>
          <w:b/>
          <w:sz w:val="24"/>
          <w:szCs w:val="24"/>
        </w:rPr>
        <w:t>3</w:t>
      </w:r>
      <w:r>
        <w:rPr>
          <w:b/>
          <w:sz w:val="24"/>
          <w:szCs w:val="24"/>
        </w:rPr>
        <w:t xml:space="preserve"> metų biudžeto pajamų struktūra</w:t>
      </w:r>
    </w:p>
    <w:p w14:paraId="319BF1AB" w14:textId="7FFAEC5A" w:rsidR="00193F15" w:rsidRPr="00A01565" w:rsidRDefault="00260095" w:rsidP="00A01565">
      <w:pPr>
        <w:spacing w:line="360" w:lineRule="auto"/>
        <w:ind w:firstLine="0"/>
        <w:rPr>
          <w:b/>
          <w:sz w:val="24"/>
          <w:szCs w:val="24"/>
        </w:rPr>
      </w:pPr>
      <w:r>
        <w:rPr>
          <w:noProof/>
          <w:lang w:eastAsia="lt-LT"/>
        </w:rPr>
        <w:drawing>
          <wp:inline distT="0" distB="0" distL="0" distR="0" wp14:anchorId="584A2E2F" wp14:editId="74B6D693">
            <wp:extent cx="6153150" cy="4705350"/>
            <wp:effectExtent l="0" t="0" r="0" b="0"/>
            <wp:docPr id="1" name="Diagrama 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334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E6C8728" w14:textId="0D465468" w:rsidR="009B0E7C" w:rsidRDefault="00BE5D46" w:rsidP="009A3B62">
      <w:pPr>
        <w:spacing w:line="360" w:lineRule="auto"/>
        <w:ind w:firstLine="992"/>
        <w:rPr>
          <w:sz w:val="24"/>
          <w:szCs w:val="24"/>
        </w:rPr>
      </w:pPr>
      <w:r w:rsidRPr="00BE5D46">
        <w:rPr>
          <w:sz w:val="24"/>
          <w:szCs w:val="24"/>
        </w:rPr>
        <w:t>Visos Savivaldybės 202</w:t>
      </w:r>
      <w:r w:rsidR="005C419B">
        <w:rPr>
          <w:sz w:val="24"/>
          <w:szCs w:val="24"/>
        </w:rPr>
        <w:t>3</w:t>
      </w:r>
      <w:r w:rsidR="0094778C">
        <w:rPr>
          <w:sz w:val="24"/>
          <w:szCs w:val="24"/>
        </w:rPr>
        <w:t xml:space="preserve"> </w:t>
      </w:r>
      <w:r w:rsidRPr="00BE5D46">
        <w:rPr>
          <w:sz w:val="24"/>
          <w:szCs w:val="24"/>
        </w:rPr>
        <w:t xml:space="preserve"> metų biudžeto pajamos – </w:t>
      </w:r>
      <w:r w:rsidR="008A3065">
        <w:rPr>
          <w:sz w:val="24"/>
          <w:szCs w:val="24"/>
        </w:rPr>
        <w:t>29089,9</w:t>
      </w:r>
      <w:r w:rsidRPr="00BE5D46">
        <w:rPr>
          <w:sz w:val="24"/>
          <w:szCs w:val="24"/>
        </w:rPr>
        <w:t xml:space="preserve"> tūkst. eurų, iš jų didžiausią dalį sudaro pajamų šaltiniai</w:t>
      </w:r>
      <w:r w:rsidR="00880D7A">
        <w:rPr>
          <w:sz w:val="24"/>
          <w:szCs w:val="24"/>
        </w:rPr>
        <w:t>,</w:t>
      </w:r>
      <w:r w:rsidRPr="00BE5D46">
        <w:rPr>
          <w:sz w:val="24"/>
          <w:szCs w:val="24"/>
        </w:rPr>
        <w:t xml:space="preserve"> skirti savarankiškosioms funkcijoms vykdyti – 5</w:t>
      </w:r>
      <w:r w:rsidR="008A3065">
        <w:rPr>
          <w:sz w:val="24"/>
          <w:szCs w:val="24"/>
        </w:rPr>
        <w:t>6</w:t>
      </w:r>
      <w:r w:rsidRPr="00BE5D46">
        <w:rPr>
          <w:sz w:val="24"/>
          <w:szCs w:val="24"/>
        </w:rPr>
        <w:t xml:space="preserve"> proc.</w:t>
      </w:r>
      <w:r w:rsidR="008A3065">
        <w:rPr>
          <w:sz w:val="24"/>
          <w:szCs w:val="24"/>
        </w:rPr>
        <w:t>;</w:t>
      </w:r>
      <w:r w:rsidRPr="00BE5D46">
        <w:rPr>
          <w:sz w:val="24"/>
          <w:szCs w:val="24"/>
        </w:rPr>
        <w:t xml:space="preserve"> valstybės biudžeto dotacijos, skirtos konkrečioms išlaidoms finansuoti atliekant valstybės deleguotas funkcijas</w:t>
      </w:r>
      <w:r w:rsidR="00E30805">
        <w:rPr>
          <w:sz w:val="24"/>
          <w:szCs w:val="24"/>
        </w:rPr>
        <w:t xml:space="preserve"> ar įgyvendinant kitus valstybės institucijų sprendimus</w:t>
      </w:r>
      <w:r w:rsidRPr="00BE5D46">
        <w:rPr>
          <w:sz w:val="24"/>
          <w:szCs w:val="24"/>
        </w:rPr>
        <w:t xml:space="preserve"> – 3</w:t>
      </w:r>
      <w:r w:rsidR="008A3065">
        <w:rPr>
          <w:sz w:val="24"/>
          <w:szCs w:val="24"/>
        </w:rPr>
        <w:t>1</w:t>
      </w:r>
      <w:r w:rsidRPr="00BE5D46">
        <w:rPr>
          <w:sz w:val="24"/>
          <w:szCs w:val="24"/>
        </w:rPr>
        <w:t xml:space="preserve"> proc.</w:t>
      </w:r>
      <w:r w:rsidR="008A3065">
        <w:rPr>
          <w:sz w:val="24"/>
          <w:szCs w:val="24"/>
        </w:rPr>
        <w:t>;</w:t>
      </w:r>
      <w:r w:rsidR="00E30805">
        <w:rPr>
          <w:sz w:val="24"/>
          <w:szCs w:val="24"/>
        </w:rPr>
        <w:t xml:space="preserve"> </w:t>
      </w:r>
      <w:r w:rsidR="00FE0BB0">
        <w:rPr>
          <w:sz w:val="24"/>
          <w:szCs w:val="24"/>
        </w:rPr>
        <w:t>5 proc. sudaro nepanaudota 202</w:t>
      </w:r>
      <w:r w:rsidR="008A3065">
        <w:rPr>
          <w:sz w:val="24"/>
          <w:szCs w:val="24"/>
        </w:rPr>
        <w:t>2</w:t>
      </w:r>
      <w:r w:rsidR="00FE0BB0">
        <w:rPr>
          <w:sz w:val="24"/>
          <w:szCs w:val="24"/>
        </w:rPr>
        <w:t xml:space="preserve"> metų biudžeto pajamų dalis (apyvartos lėšų likutis)</w:t>
      </w:r>
      <w:r w:rsidR="00E30805">
        <w:rPr>
          <w:sz w:val="24"/>
          <w:szCs w:val="24"/>
        </w:rPr>
        <w:t xml:space="preserve">; </w:t>
      </w:r>
      <w:r w:rsidR="008A3065">
        <w:rPr>
          <w:sz w:val="24"/>
          <w:szCs w:val="24"/>
        </w:rPr>
        <w:t>5</w:t>
      </w:r>
      <w:r w:rsidR="00E30805">
        <w:rPr>
          <w:sz w:val="24"/>
          <w:szCs w:val="24"/>
        </w:rPr>
        <w:t xml:space="preserve"> proc. – kiti pajamų šaltiniai</w:t>
      </w:r>
      <w:r w:rsidR="00FE0BB0">
        <w:rPr>
          <w:sz w:val="24"/>
          <w:szCs w:val="24"/>
        </w:rPr>
        <w:t>, t. y. biudžetinių įstaigų pajamos už suteiktas paslaugas</w:t>
      </w:r>
      <w:r w:rsidRPr="00BE5D46">
        <w:rPr>
          <w:sz w:val="24"/>
          <w:szCs w:val="24"/>
        </w:rPr>
        <w:t xml:space="preserve"> </w:t>
      </w:r>
      <w:r w:rsidR="00FE0BB0">
        <w:rPr>
          <w:sz w:val="24"/>
          <w:szCs w:val="24"/>
        </w:rPr>
        <w:t>ir turto nuomą, vietinių rinkliavų ir turto realizavimo pajamos</w:t>
      </w:r>
      <w:r w:rsidR="00E30805">
        <w:rPr>
          <w:sz w:val="24"/>
          <w:szCs w:val="24"/>
        </w:rPr>
        <w:t xml:space="preserve">, </w:t>
      </w:r>
      <w:r w:rsidR="008A3065">
        <w:rPr>
          <w:sz w:val="24"/>
          <w:szCs w:val="24"/>
        </w:rPr>
        <w:t>2</w:t>
      </w:r>
      <w:r w:rsidR="00E30805">
        <w:rPr>
          <w:sz w:val="24"/>
          <w:szCs w:val="24"/>
        </w:rPr>
        <w:t xml:space="preserve"> proc</w:t>
      </w:r>
      <w:r w:rsidR="00496BE5">
        <w:rPr>
          <w:sz w:val="24"/>
          <w:szCs w:val="24"/>
        </w:rPr>
        <w:t>. sudaro planuojamos imti ilgalaikės paskolos lėšos</w:t>
      </w:r>
      <w:r w:rsidR="00FE0BB0">
        <w:rPr>
          <w:sz w:val="24"/>
          <w:szCs w:val="24"/>
        </w:rPr>
        <w:t>.</w:t>
      </w:r>
    </w:p>
    <w:p w14:paraId="521A7949" w14:textId="5A47BD01" w:rsidR="00FE0BB0" w:rsidRDefault="00FE0BB0" w:rsidP="00FE0BB0">
      <w:pPr>
        <w:spacing w:line="360" w:lineRule="auto"/>
        <w:ind w:firstLine="992"/>
        <w:rPr>
          <w:sz w:val="24"/>
          <w:szCs w:val="24"/>
        </w:rPr>
      </w:pPr>
      <w:r w:rsidRPr="00FE0BB0">
        <w:rPr>
          <w:sz w:val="24"/>
          <w:szCs w:val="24"/>
        </w:rPr>
        <w:t xml:space="preserve">Savivaldybės biudžetas, </w:t>
      </w:r>
      <w:r w:rsidR="00880D7A">
        <w:rPr>
          <w:sz w:val="24"/>
          <w:szCs w:val="24"/>
        </w:rPr>
        <w:t>ministrams priėmus</w:t>
      </w:r>
      <w:r w:rsidRPr="00FE0BB0">
        <w:rPr>
          <w:sz w:val="24"/>
          <w:szCs w:val="24"/>
        </w:rPr>
        <w:t xml:space="preserve"> įsakymus, bus papildytas lėšomis</w:t>
      </w:r>
      <w:r w:rsidR="00880D7A">
        <w:rPr>
          <w:sz w:val="24"/>
          <w:szCs w:val="24"/>
        </w:rPr>
        <w:t>,</w:t>
      </w:r>
      <w:r w:rsidRPr="00FE0BB0">
        <w:rPr>
          <w:sz w:val="24"/>
          <w:szCs w:val="24"/>
        </w:rPr>
        <w:t xml:space="preserve"> </w:t>
      </w:r>
      <w:r w:rsidR="008A3065">
        <w:rPr>
          <w:sz w:val="24"/>
          <w:szCs w:val="24"/>
        </w:rPr>
        <w:t xml:space="preserve"> skirtomis neįgaliųjų būstui, </w:t>
      </w:r>
      <w:r w:rsidRPr="00FE0BB0">
        <w:rPr>
          <w:sz w:val="24"/>
          <w:szCs w:val="24"/>
        </w:rPr>
        <w:t>vietinės reikšmės keliams (gatvėms) tiesti, taisyti, prižiūrėti ir saugaus eismo sąlygoms užtikrinti bei vykdomiems investicijų projektams numatytomis Europos Sąjungos finansinės paramos</w:t>
      </w:r>
      <w:r w:rsidR="008A3065">
        <w:rPr>
          <w:sz w:val="24"/>
          <w:szCs w:val="24"/>
        </w:rPr>
        <w:t xml:space="preserve"> ir bendrojo finansavimo</w:t>
      </w:r>
      <w:r w:rsidRPr="00FE0BB0">
        <w:rPr>
          <w:sz w:val="24"/>
          <w:szCs w:val="24"/>
        </w:rPr>
        <w:t xml:space="preserve"> lėšomis.</w:t>
      </w:r>
    </w:p>
    <w:p w14:paraId="233C6861" w14:textId="090A6783" w:rsidR="004D29D2" w:rsidRDefault="004D29D2" w:rsidP="00FE0BB0">
      <w:pPr>
        <w:spacing w:line="360" w:lineRule="auto"/>
        <w:ind w:firstLine="992"/>
        <w:rPr>
          <w:sz w:val="24"/>
          <w:szCs w:val="24"/>
        </w:rPr>
      </w:pPr>
      <w:r w:rsidRPr="004D29D2">
        <w:rPr>
          <w:rFonts w:eastAsia="Calibri"/>
          <w:sz w:val="24"/>
          <w:szCs w:val="24"/>
        </w:rPr>
        <w:t>Atsižvelgiant į Lietuvos Respublikos fiskalinės sutarties įgyvendinimo konstitucinio įstatymo nuostatas, kuriomis yra nustatyti reikalavimai savivaldybių biudžetams užtikrinti fiskalinę drausmę, 202</w:t>
      </w:r>
      <w:r w:rsidR="008A3065">
        <w:rPr>
          <w:rFonts w:eastAsia="Calibri"/>
          <w:sz w:val="24"/>
          <w:szCs w:val="24"/>
        </w:rPr>
        <w:t>3</w:t>
      </w:r>
      <w:r w:rsidRPr="004D29D2">
        <w:rPr>
          <w:rFonts w:eastAsia="Calibri"/>
          <w:sz w:val="24"/>
          <w:szCs w:val="24"/>
        </w:rPr>
        <w:t xml:space="preserve"> metams numatomi savivaldybių skolos, skolinimosi ir garantijų limitai, t. y. Savivaldybės skola negali viršyti 60 proc. </w:t>
      </w:r>
      <w:bookmarkStart w:id="1" w:name="_Hlk125385847"/>
      <w:r w:rsidRPr="004D29D2">
        <w:rPr>
          <w:rFonts w:eastAsia="Calibri"/>
          <w:sz w:val="24"/>
          <w:szCs w:val="24"/>
        </w:rPr>
        <w:t>Valstybės biudžeto ir savivaldybių biudžetų finansinių rodiklių įstatymu patvirtintų prognozuojamų Savivaldybės biudžeto pajamų</w:t>
      </w:r>
      <w:r w:rsidR="008A3065">
        <w:rPr>
          <w:rFonts w:eastAsia="Calibri"/>
          <w:sz w:val="24"/>
          <w:szCs w:val="24"/>
        </w:rPr>
        <w:t xml:space="preserve"> ir </w:t>
      </w:r>
      <w:r w:rsidR="008A3065" w:rsidRPr="008A3065">
        <w:rPr>
          <w:rFonts w:eastAsia="Calibri"/>
          <w:sz w:val="24"/>
          <w:szCs w:val="24"/>
        </w:rPr>
        <w:t xml:space="preserve">2022 metų </w:t>
      </w:r>
      <w:r w:rsidR="00637BD5">
        <w:rPr>
          <w:rFonts w:eastAsia="Calibri"/>
          <w:sz w:val="24"/>
          <w:szCs w:val="24"/>
        </w:rPr>
        <w:lastRenderedPageBreak/>
        <w:t>S</w:t>
      </w:r>
      <w:r w:rsidR="008A3065" w:rsidRPr="008A3065">
        <w:rPr>
          <w:rFonts w:eastAsia="Calibri"/>
          <w:sz w:val="24"/>
          <w:szCs w:val="24"/>
        </w:rPr>
        <w:t>avivaldybės biudžeto gautų pajamų, išskyrus pajamas iš gyventojų pajamų mokesčio ir valstybės biudžeto dotacijas, sumos</w:t>
      </w:r>
      <w:bookmarkEnd w:id="1"/>
      <w:r w:rsidRPr="004D29D2">
        <w:rPr>
          <w:rFonts w:eastAsia="Calibri"/>
          <w:sz w:val="24"/>
          <w:szCs w:val="24"/>
        </w:rPr>
        <w:t xml:space="preserve">. Kupiškio rajono savivaldybės skola sudaro </w:t>
      </w:r>
      <w:r w:rsidR="006C7FEA">
        <w:rPr>
          <w:rFonts w:eastAsia="Calibri"/>
          <w:sz w:val="24"/>
          <w:szCs w:val="24"/>
        </w:rPr>
        <w:t>22,9</w:t>
      </w:r>
      <w:r w:rsidRPr="004D29D2">
        <w:rPr>
          <w:rFonts w:eastAsia="Calibri"/>
          <w:sz w:val="24"/>
          <w:szCs w:val="24"/>
        </w:rPr>
        <w:t xml:space="preserve"> proc. šio įstatymo patvirtintų prognozuojamų pajamų</w:t>
      </w:r>
      <w:r w:rsidR="00215DB0">
        <w:rPr>
          <w:rFonts w:eastAsia="Calibri"/>
          <w:sz w:val="24"/>
          <w:szCs w:val="24"/>
        </w:rPr>
        <w:t xml:space="preserve"> iš gyventojų pajamų mokesčio</w:t>
      </w:r>
      <w:r w:rsidR="006C7FEA">
        <w:rPr>
          <w:rFonts w:eastAsia="Calibri"/>
          <w:sz w:val="24"/>
          <w:szCs w:val="24"/>
        </w:rPr>
        <w:t xml:space="preserve"> ir </w:t>
      </w:r>
      <w:r w:rsidR="006C7FEA" w:rsidRPr="008A3065">
        <w:rPr>
          <w:rFonts w:eastAsia="Calibri"/>
          <w:sz w:val="24"/>
          <w:szCs w:val="24"/>
        </w:rPr>
        <w:t>2022</w:t>
      </w:r>
      <w:r w:rsidR="00637BD5">
        <w:rPr>
          <w:rFonts w:eastAsia="Calibri"/>
          <w:sz w:val="24"/>
          <w:szCs w:val="24"/>
        </w:rPr>
        <w:t xml:space="preserve"> </w:t>
      </w:r>
      <w:r w:rsidR="006C7FEA" w:rsidRPr="008A3065">
        <w:rPr>
          <w:rFonts w:eastAsia="Calibri"/>
          <w:sz w:val="24"/>
          <w:szCs w:val="24"/>
        </w:rPr>
        <w:t xml:space="preserve">metų </w:t>
      </w:r>
      <w:r w:rsidR="00637BD5">
        <w:rPr>
          <w:rFonts w:eastAsia="Calibri"/>
          <w:sz w:val="24"/>
          <w:szCs w:val="24"/>
        </w:rPr>
        <w:t>S</w:t>
      </w:r>
      <w:r w:rsidR="006C7FEA" w:rsidRPr="008A3065">
        <w:rPr>
          <w:rFonts w:eastAsia="Calibri"/>
          <w:sz w:val="24"/>
          <w:szCs w:val="24"/>
        </w:rPr>
        <w:t>avivaldybės biudžeto gautų pajamų, išskyrus pajamas iš gyventojų pajamų mokesčio ir valstybės biudžeto dotacijas, sumos</w:t>
      </w:r>
      <w:r w:rsidR="006C7FEA" w:rsidRPr="004D29D2">
        <w:rPr>
          <w:rFonts w:eastAsia="Calibri"/>
          <w:sz w:val="24"/>
          <w:szCs w:val="24"/>
        </w:rPr>
        <w:t>.</w:t>
      </w:r>
      <w:r w:rsidRPr="004D29D2">
        <w:rPr>
          <w:rFonts w:eastAsia="Calibri"/>
          <w:sz w:val="24"/>
          <w:szCs w:val="24"/>
        </w:rPr>
        <w:t xml:space="preserve"> </w:t>
      </w:r>
      <w:r w:rsidRPr="004D29D2">
        <w:rPr>
          <w:sz w:val="24"/>
          <w:szCs w:val="24"/>
        </w:rPr>
        <w:t>Nepanaudotas skolos limitas 202</w:t>
      </w:r>
      <w:r w:rsidR="006C7FEA">
        <w:rPr>
          <w:sz w:val="24"/>
          <w:szCs w:val="24"/>
        </w:rPr>
        <w:t>3</w:t>
      </w:r>
      <w:r w:rsidRPr="004D29D2">
        <w:rPr>
          <w:sz w:val="24"/>
          <w:szCs w:val="24"/>
        </w:rPr>
        <w:t xml:space="preserve"> m. sausio 1 d.  – </w:t>
      </w:r>
      <w:r w:rsidR="006C7FEA">
        <w:rPr>
          <w:sz w:val="24"/>
          <w:szCs w:val="24"/>
        </w:rPr>
        <w:t>6652,3</w:t>
      </w:r>
      <w:r w:rsidRPr="004D29D2">
        <w:rPr>
          <w:sz w:val="24"/>
          <w:szCs w:val="24"/>
        </w:rPr>
        <w:t xml:space="preserve"> tūkst. eurų.</w:t>
      </w:r>
    </w:p>
    <w:p w14:paraId="2C91D9FF" w14:textId="23C119C6" w:rsidR="003718A8" w:rsidRDefault="00330404" w:rsidP="00FE0BB0">
      <w:pPr>
        <w:spacing w:line="360" w:lineRule="auto"/>
        <w:ind w:firstLine="992"/>
        <w:rPr>
          <w:sz w:val="24"/>
          <w:szCs w:val="24"/>
        </w:rPr>
      </w:pPr>
      <w:r>
        <w:rPr>
          <w:sz w:val="24"/>
          <w:szCs w:val="24"/>
        </w:rPr>
        <w:t>Planuojant, tvirtinant</w:t>
      </w:r>
      <w:r w:rsidR="007675C7">
        <w:rPr>
          <w:sz w:val="24"/>
          <w:szCs w:val="24"/>
        </w:rPr>
        <w:t>,</w:t>
      </w:r>
      <w:r>
        <w:rPr>
          <w:sz w:val="24"/>
          <w:szCs w:val="24"/>
        </w:rPr>
        <w:t xml:space="preserve"> keiči</w:t>
      </w:r>
      <w:r w:rsidR="003F2EDB">
        <w:rPr>
          <w:sz w:val="24"/>
          <w:szCs w:val="24"/>
        </w:rPr>
        <w:t>ant</w:t>
      </w:r>
      <w:r w:rsidR="007675C7">
        <w:rPr>
          <w:sz w:val="24"/>
          <w:szCs w:val="24"/>
        </w:rPr>
        <w:t xml:space="preserve"> ir vykdant</w:t>
      </w:r>
      <w:r w:rsidR="003F2EDB">
        <w:rPr>
          <w:sz w:val="24"/>
          <w:szCs w:val="24"/>
        </w:rPr>
        <w:t xml:space="preserve"> </w:t>
      </w:r>
      <w:r w:rsidR="003718A8">
        <w:rPr>
          <w:sz w:val="24"/>
          <w:szCs w:val="24"/>
        </w:rPr>
        <w:t xml:space="preserve">Savivaldybės </w:t>
      </w:r>
      <w:r w:rsidR="003F2EDB">
        <w:rPr>
          <w:sz w:val="24"/>
          <w:szCs w:val="24"/>
        </w:rPr>
        <w:t>biudžetą</w:t>
      </w:r>
      <w:r w:rsidR="007675C7">
        <w:rPr>
          <w:sz w:val="24"/>
          <w:szCs w:val="24"/>
        </w:rPr>
        <w:t xml:space="preserve">, </w:t>
      </w:r>
      <w:r w:rsidR="003F2EDB">
        <w:rPr>
          <w:sz w:val="24"/>
          <w:szCs w:val="24"/>
        </w:rPr>
        <w:t>asignavimai negali viršyti jo pajamų</w:t>
      </w:r>
      <w:r w:rsidR="00880D7A">
        <w:rPr>
          <w:sz w:val="24"/>
          <w:szCs w:val="24"/>
        </w:rPr>
        <w:t>,</w:t>
      </w:r>
      <w:r w:rsidR="003F2EDB">
        <w:rPr>
          <w:sz w:val="24"/>
          <w:szCs w:val="24"/>
        </w:rPr>
        <w:t xml:space="preserve"> jeigu Vyriausybė pagal ekonominės raidos scenarijų nėra numačiusi </w:t>
      </w:r>
      <w:r w:rsidR="003718A8">
        <w:rPr>
          <w:sz w:val="24"/>
          <w:szCs w:val="24"/>
        </w:rPr>
        <w:t>neigiamo produkcijos atotrūkio nuo potencialo</w:t>
      </w:r>
      <w:r w:rsidR="00637BD5">
        <w:rPr>
          <w:sz w:val="24"/>
          <w:szCs w:val="24"/>
        </w:rPr>
        <w:t>. T</w:t>
      </w:r>
      <w:r w:rsidR="007675C7">
        <w:rPr>
          <w:sz w:val="24"/>
          <w:szCs w:val="24"/>
        </w:rPr>
        <w:t xml:space="preserve">okiu atveju Savivaldybės biudžeto asignavimai </w:t>
      </w:r>
      <w:r w:rsidR="00C656DD">
        <w:rPr>
          <w:sz w:val="24"/>
          <w:szCs w:val="24"/>
        </w:rPr>
        <w:t xml:space="preserve">negali viršyti </w:t>
      </w:r>
      <w:r w:rsidR="00B6536D">
        <w:rPr>
          <w:sz w:val="24"/>
          <w:szCs w:val="24"/>
        </w:rPr>
        <w:t xml:space="preserve"> </w:t>
      </w:r>
      <w:r w:rsidR="007675C7">
        <w:rPr>
          <w:sz w:val="24"/>
          <w:szCs w:val="24"/>
        </w:rPr>
        <w:t>560</w:t>
      </w:r>
      <w:r w:rsidR="00C656DD">
        <w:rPr>
          <w:sz w:val="24"/>
          <w:szCs w:val="24"/>
        </w:rPr>
        <w:t xml:space="preserve"> tūkst. eurų.</w:t>
      </w:r>
    </w:p>
    <w:p w14:paraId="7A6B85B1" w14:textId="420697D9" w:rsidR="00C656DD" w:rsidRDefault="00C656DD" w:rsidP="00FE0BB0">
      <w:pPr>
        <w:spacing w:line="360" w:lineRule="auto"/>
        <w:ind w:firstLine="992"/>
        <w:rPr>
          <w:sz w:val="24"/>
          <w:szCs w:val="24"/>
        </w:rPr>
      </w:pPr>
      <w:r>
        <w:rPr>
          <w:sz w:val="24"/>
          <w:szCs w:val="24"/>
        </w:rPr>
        <w:t>Savivaldybės prisiimti įsipareigojimai pagal garantijas dėl Savivaldybės valdomų įmonių prisiimtų, bet dar neįvykdytų įsipareigojimų pagal paskolų sutartis</w:t>
      </w:r>
      <w:r w:rsidR="00880D7A">
        <w:rPr>
          <w:sz w:val="24"/>
          <w:szCs w:val="24"/>
        </w:rPr>
        <w:t>,</w:t>
      </w:r>
      <w:r>
        <w:rPr>
          <w:sz w:val="24"/>
          <w:szCs w:val="24"/>
        </w:rPr>
        <w:t xml:space="preserve"> negali viršyti 10 proc.</w:t>
      </w:r>
      <w:r w:rsidR="00F323A7">
        <w:rPr>
          <w:sz w:val="24"/>
          <w:szCs w:val="24"/>
        </w:rPr>
        <w:t xml:space="preserve"> </w:t>
      </w:r>
      <w:r w:rsidR="00F323A7" w:rsidRPr="00F323A7">
        <w:rPr>
          <w:sz w:val="24"/>
          <w:szCs w:val="24"/>
        </w:rPr>
        <w:t>Valstybės biudžeto ir savivaldybių biudžetų finansinių rodiklių įstatymu patvirtintų prognozuojamų Savivaldybės biudžeto pajamų ir 2022 metų savivaldybės biudžeto gautų pajamų, išskyrus pajamas iš gyventojų pajamų mokesčio ir valstybės biudžeto dotacijas, sumos</w:t>
      </w:r>
      <w:r w:rsidR="00F323A7">
        <w:rPr>
          <w:sz w:val="24"/>
          <w:szCs w:val="24"/>
        </w:rPr>
        <w:t xml:space="preserve">. </w:t>
      </w:r>
      <w:r>
        <w:rPr>
          <w:sz w:val="24"/>
          <w:szCs w:val="24"/>
        </w:rPr>
        <w:t>202</w:t>
      </w:r>
      <w:r w:rsidR="00621D02">
        <w:rPr>
          <w:sz w:val="24"/>
          <w:szCs w:val="24"/>
        </w:rPr>
        <w:t>3</w:t>
      </w:r>
      <w:r>
        <w:rPr>
          <w:sz w:val="24"/>
          <w:szCs w:val="24"/>
        </w:rPr>
        <w:t xml:space="preserve"> m</w:t>
      </w:r>
      <w:r w:rsidR="00880D7A">
        <w:rPr>
          <w:sz w:val="24"/>
          <w:szCs w:val="24"/>
        </w:rPr>
        <w:t>.</w:t>
      </w:r>
      <w:r>
        <w:rPr>
          <w:sz w:val="24"/>
          <w:szCs w:val="24"/>
        </w:rPr>
        <w:t xml:space="preserve"> sausio 1 d. Savivaldybės prisiimti įsipareigojimai pagal garantijas – </w:t>
      </w:r>
      <w:r w:rsidR="00621D02">
        <w:rPr>
          <w:sz w:val="24"/>
          <w:szCs w:val="24"/>
        </w:rPr>
        <w:t>322,9</w:t>
      </w:r>
      <w:r>
        <w:rPr>
          <w:sz w:val="24"/>
          <w:szCs w:val="24"/>
        </w:rPr>
        <w:t xml:space="preserve"> tūkst. eurų (202</w:t>
      </w:r>
      <w:r w:rsidR="00621D02">
        <w:rPr>
          <w:sz w:val="24"/>
          <w:szCs w:val="24"/>
        </w:rPr>
        <w:t>3</w:t>
      </w:r>
      <w:r>
        <w:rPr>
          <w:sz w:val="24"/>
          <w:szCs w:val="24"/>
        </w:rPr>
        <w:t xml:space="preserve"> metų limitas – </w:t>
      </w:r>
      <w:r w:rsidR="00F323A7">
        <w:rPr>
          <w:sz w:val="24"/>
          <w:szCs w:val="24"/>
        </w:rPr>
        <w:t>1795,2</w:t>
      </w:r>
      <w:r w:rsidR="006C2711">
        <w:rPr>
          <w:sz w:val="24"/>
          <w:szCs w:val="24"/>
        </w:rPr>
        <w:t xml:space="preserve"> </w:t>
      </w:r>
      <w:r>
        <w:rPr>
          <w:sz w:val="24"/>
          <w:szCs w:val="24"/>
        </w:rPr>
        <w:t xml:space="preserve">tūkst. eurų). </w:t>
      </w:r>
    </w:p>
    <w:p w14:paraId="1183BA2F" w14:textId="77777777" w:rsidR="00A8580E" w:rsidRDefault="00A8580E" w:rsidP="00FE0BB0">
      <w:pPr>
        <w:spacing w:line="360" w:lineRule="auto"/>
        <w:ind w:firstLine="992"/>
        <w:rPr>
          <w:sz w:val="24"/>
          <w:szCs w:val="24"/>
        </w:rPr>
      </w:pPr>
    </w:p>
    <w:p w14:paraId="795EA23C" w14:textId="29CD0129" w:rsidR="00C656DD" w:rsidRPr="00C656DD" w:rsidRDefault="00C656DD" w:rsidP="00C656DD">
      <w:pPr>
        <w:spacing w:line="360" w:lineRule="auto"/>
        <w:ind w:firstLine="992"/>
        <w:jc w:val="center"/>
        <w:rPr>
          <w:b/>
          <w:bCs/>
          <w:sz w:val="24"/>
          <w:szCs w:val="24"/>
        </w:rPr>
      </w:pPr>
      <w:r w:rsidRPr="00C656DD">
        <w:rPr>
          <w:b/>
          <w:bCs/>
          <w:sz w:val="24"/>
          <w:szCs w:val="24"/>
        </w:rPr>
        <w:t>Kupiškio rajono savivaldybės 202</w:t>
      </w:r>
      <w:r w:rsidR="00F323A7">
        <w:rPr>
          <w:b/>
          <w:bCs/>
          <w:sz w:val="24"/>
          <w:szCs w:val="24"/>
        </w:rPr>
        <w:t>3</w:t>
      </w:r>
      <w:r w:rsidRPr="00C656DD">
        <w:rPr>
          <w:b/>
          <w:bCs/>
          <w:sz w:val="24"/>
          <w:szCs w:val="24"/>
        </w:rPr>
        <w:t xml:space="preserve"> metų biudžeto išlaidos</w:t>
      </w:r>
    </w:p>
    <w:p w14:paraId="3E82DA9F" w14:textId="11FC2E49" w:rsidR="00C656DD" w:rsidRPr="00C656DD" w:rsidRDefault="00C656DD" w:rsidP="00C656DD">
      <w:pPr>
        <w:tabs>
          <w:tab w:val="left" w:pos="993"/>
        </w:tabs>
        <w:spacing w:line="360" w:lineRule="auto"/>
        <w:ind w:firstLine="993"/>
        <w:rPr>
          <w:color w:val="000000"/>
          <w:sz w:val="24"/>
          <w:szCs w:val="24"/>
        </w:rPr>
      </w:pPr>
      <w:r w:rsidRPr="00C656DD">
        <w:rPr>
          <w:color w:val="000000"/>
          <w:sz w:val="24"/>
          <w:szCs w:val="24"/>
        </w:rPr>
        <w:t xml:space="preserve">Planuojamos </w:t>
      </w:r>
      <w:r w:rsidRPr="00C656DD">
        <w:rPr>
          <w:caps/>
          <w:color w:val="000000"/>
          <w:sz w:val="24"/>
          <w:szCs w:val="24"/>
        </w:rPr>
        <w:t>202</w:t>
      </w:r>
      <w:r w:rsidR="00CB72A2">
        <w:rPr>
          <w:caps/>
          <w:color w:val="000000"/>
          <w:sz w:val="24"/>
          <w:szCs w:val="24"/>
        </w:rPr>
        <w:t>3</w:t>
      </w:r>
      <w:r w:rsidRPr="00C656DD">
        <w:rPr>
          <w:caps/>
          <w:color w:val="000000"/>
          <w:sz w:val="24"/>
          <w:szCs w:val="24"/>
        </w:rPr>
        <w:t xml:space="preserve"> </w:t>
      </w:r>
      <w:r w:rsidRPr="00C656DD">
        <w:rPr>
          <w:color w:val="000000"/>
          <w:sz w:val="24"/>
          <w:szCs w:val="24"/>
        </w:rPr>
        <w:t>metų biudžeto išlaidos su 20</w:t>
      </w:r>
      <w:r>
        <w:rPr>
          <w:color w:val="000000"/>
          <w:sz w:val="24"/>
          <w:szCs w:val="24"/>
        </w:rPr>
        <w:t>2</w:t>
      </w:r>
      <w:r w:rsidR="00CB72A2">
        <w:rPr>
          <w:color w:val="000000"/>
          <w:sz w:val="24"/>
          <w:szCs w:val="24"/>
        </w:rPr>
        <w:t xml:space="preserve">2 </w:t>
      </w:r>
      <w:r w:rsidRPr="00C656DD">
        <w:rPr>
          <w:color w:val="000000"/>
          <w:sz w:val="24"/>
          <w:szCs w:val="24"/>
        </w:rPr>
        <w:t xml:space="preserve">metų Savivaldybės biudžeto nepanaudotomis lėšomis – </w:t>
      </w:r>
      <w:r w:rsidR="00A1074D">
        <w:rPr>
          <w:sz w:val="24"/>
          <w:szCs w:val="24"/>
        </w:rPr>
        <w:t>29089,9</w:t>
      </w:r>
      <w:r w:rsidRPr="00C656DD">
        <w:rPr>
          <w:sz w:val="24"/>
          <w:szCs w:val="24"/>
        </w:rPr>
        <w:t xml:space="preserve"> tūkst. </w:t>
      </w:r>
      <w:r w:rsidRPr="00C656DD">
        <w:rPr>
          <w:color w:val="000000"/>
          <w:sz w:val="24"/>
          <w:szCs w:val="24"/>
        </w:rPr>
        <w:t xml:space="preserve">eurų, iš jų asignavimai – </w:t>
      </w:r>
      <w:r w:rsidR="004A0A21">
        <w:rPr>
          <w:color w:val="000000"/>
          <w:sz w:val="24"/>
          <w:szCs w:val="24"/>
        </w:rPr>
        <w:t>28351,4</w:t>
      </w:r>
      <w:r w:rsidRPr="00C656DD">
        <w:rPr>
          <w:color w:val="000000"/>
          <w:sz w:val="24"/>
          <w:szCs w:val="24"/>
        </w:rPr>
        <w:t xml:space="preserve"> tūkst. eurų. Savivaldybės biudžeto asignavimams nėra priskiriamos išlaidos skirtos</w:t>
      </w:r>
      <w:r w:rsidR="00E0063A">
        <w:rPr>
          <w:color w:val="000000"/>
          <w:sz w:val="24"/>
          <w:szCs w:val="24"/>
        </w:rPr>
        <w:t>,</w:t>
      </w:r>
      <w:r w:rsidRPr="00C656DD">
        <w:rPr>
          <w:color w:val="000000"/>
          <w:sz w:val="24"/>
          <w:szCs w:val="24"/>
        </w:rPr>
        <w:t xml:space="preserve"> finansinių įsipareigojimų vykdymui (paskolų grąžinimas). 202</w:t>
      </w:r>
      <w:r w:rsidR="004A0A21">
        <w:rPr>
          <w:color w:val="000000"/>
          <w:sz w:val="24"/>
          <w:szCs w:val="24"/>
        </w:rPr>
        <w:t>3</w:t>
      </w:r>
      <w:r w:rsidRPr="00C656DD">
        <w:rPr>
          <w:color w:val="000000"/>
          <w:sz w:val="24"/>
          <w:szCs w:val="24"/>
        </w:rPr>
        <w:t xml:space="preserve"> metais planuojama grąžinti </w:t>
      </w:r>
      <w:r w:rsidR="004A0A21">
        <w:rPr>
          <w:color w:val="000000"/>
          <w:sz w:val="24"/>
          <w:szCs w:val="24"/>
        </w:rPr>
        <w:t>738,5</w:t>
      </w:r>
      <w:r w:rsidR="0049482A">
        <w:rPr>
          <w:color w:val="000000"/>
          <w:sz w:val="24"/>
          <w:szCs w:val="24"/>
        </w:rPr>
        <w:t xml:space="preserve"> t</w:t>
      </w:r>
      <w:r w:rsidRPr="00C656DD">
        <w:rPr>
          <w:color w:val="000000"/>
          <w:sz w:val="24"/>
          <w:szCs w:val="24"/>
        </w:rPr>
        <w:t xml:space="preserve">ūkst. eurų ilgalaikių paskolų.  </w:t>
      </w:r>
    </w:p>
    <w:p w14:paraId="3D09E54C" w14:textId="45FF5750" w:rsidR="00C656DD" w:rsidRPr="00C656DD" w:rsidRDefault="00C656DD" w:rsidP="00C656DD">
      <w:pPr>
        <w:tabs>
          <w:tab w:val="left" w:pos="993"/>
        </w:tabs>
        <w:spacing w:line="360" w:lineRule="auto"/>
        <w:ind w:firstLine="993"/>
        <w:rPr>
          <w:color w:val="000000"/>
          <w:sz w:val="24"/>
          <w:szCs w:val="24"/>
        </w:rPr>
      </w:pPr>
      <w:r w:rsidRPr="00C656DD">
        <w:rPr>
          <w:color w:val="000000"/>
          <w:sz w:val="24"/>
          <w:szCs w:val="24"/>
        </w:rPr>
        <w:t>Sudarant 202</w:t>
      </w:r>
      <w:r w:rsidR="004A0A21">
        <w:rPr>
          <w:color w:val="000000"/>
          <w:sz w:val="24"/>
          <w:szCs w:val="24"/>
        </w:rPr>
        <w:t>3</w:t>
      </w:r>
      <w:r w:rsidRPr="00C656DD">
        <w:rPr>
          <w:color w:val="000000"/>
          <w:sz w:val="24"/>
          <w:szCs w:val="24"/>
        </w:rPr>
        <w:t xml:space="preserve"> metų Savivaldybės biudžeto išlaidų projektą buvo atsižvelgiama į pasirašytas finansinių įsipareigojimų sutartis, biudžetinių įstaigų vykdomas programas bei priemones, kreditinius įsiskolinimus už prekes ir paslaugas bei Savivaldybės finansines galimybes.</w:t>
      </w:r>
    </w:p>
    <w:p w14:paraId="3FAE5ECA" w14:textId="68336949" w:rsidR="00C656DD" w:rsidRPr="00C656DD" w:rsidRDefault="00C656DD" w:rsidP="00C656DD">
      <w:pPr>
        <w:tabs>
          <w:tab w:val="left" w:pos="993"/>
        </w:tabs>
        <w:spacing w:line="360" w:lineRule="auto"/>
        <w:ind w:firstLine="993"/>
        <w:rPr>
          <w:bCs/>
          <w:color w:val="000000"/>
          <w:sz w:val="24"/>
          <w:szCs w:val="24"/>
        </w:rPr>
      </w:pPr>
      <w:r w:rsidRPr="00C656DD">
        <w:rPr>
          <w:color w:val="000000"/>
          <w:sz w:val="24"/>
          <w:szCs w:val="24"/>
        </w:rPr>
        <w:t>Savivaldybės biudžetinės įstaigoms asignavimai skiriami atsižvelgiant į 20</w:t>
      </w:r>
      <w:r>
        <w:rPr>
          <w:color w:val="000000"/>
          <w:sz w:val="24"/>
          <w:szCs w:val="24"/>
        </w:rPr>
        <w:t>2</w:t>
      </w:r>
      <w:r w:rsidR="004A0A21">
        <w:rPr>
          <w:color w:val="000000"/>
          <w:sz w:val="24"/>
          <w:szCs w:val="24"/>
        </w:rPr>
        <w:t>2</w:t>
      </w:r>
      <w:r w:rsidRPr="00C656DD">
        <w:rPr>
          <w:color w:val="000000"/>
          <w:sz w:val="24"/>
          <w:szCs w:val="24"/>
        </w:rPr>
        <w:t xml:space="preserve"> metų patvirtintą biudžetą, jo įvykdymą 20</w:t>
      </w:r>
      <w:r>
        <w:rPr>
          <w:color w:val="000000"/>
          <w:sz w:val="24"/>
          <w:szCs w:val="24"/>
        </w:rPr>
        <w:t>2</w:t>
      </w:r>
      <w:r w:rsidR="004A0A21">
        <w:rPr>
          <w:color w:val="000000"/>
          <w:sz w:val="24"/>
          <w:szCs w:val="24"/>
        </w:rPr>
        <w:t>2</w:t>
      </w:r>
      <w:r w:rsidRPr="00C656DD">
        <w:rPr>
          <w:color w:val="000000"/>
          <w:sz w:val="24"/>
          <w:szCs w:val="24"/>
        </w:rPr>
        <w:t xml:space="preserve"> m. gruodžio 31 d. bei pateiktas projektines paraiškas. Įstaigų </w:t>
      </w:r>
      <w:r w:rsidR="004A0A21">
        <w:rPr>
          <w:color w:val="000000"/>
          <w:sz w:val="24"/>
          <w:szCs w:val="24"/>
        </w:rPr>
        <w:t xml:space="preserve">finansavimo iš Savivaldybės biudžeto savarankiškųjų pajamų </w:t>
      </w:r>
      <w:r w:rsidRPr="00C656DD">
        <w:rPr>
          <w:color w:val="000000"/>
          <w:sz w:val="24"/>
          <w:szCs w:val="24"/>
        </w:rPr>
        <w:t>poreikis 202</w:t>
      </w:r>
      <w:r w:rsidR="004A0A21">
        <w:rPr>
          <w:color w:val="000000"/>
          <w:sz w:val="24"/>
          <w:szCs w:val="24"/>
        </w:rPr>
        <w:t>3</w:t>
      </w:r>
      <w:r w:rsidRPr="00C656DD">
        <w:rPr>
          <w:color w:val="000000"/>
          <w:sz w:val="24"/>
          <w:szCs w:val="24"/>
        </w:rPr>
        <w:t xml:space="preserve"> metams, išskyrus darbo užmokesčio fondą, tenkinamas </w:t>
      </w:r>
      <w:r w:rsidRPr="00694D9E">
        <w:rPr>
          <w:color w:val="000000"/>
          <w:sz w:val="24"/>
          <w:szCs w:val="24"/>
        </w:rPr>
        <w:t>vidutiniškai</w:t>
      </w:r>
      <w:r w:rsidR="00EE45FB" w:rsidRPr="00694D9E">
        <w:rPr>
          <w:color w:val="000000"/>
          <w:sz w:val="24"/>
          <w:szCs w:val="24"/>
        </w:rPr>
        <w:t xml:space="preserve"> </w:t>
      </w:r>
      <w:r w:rsidR="00EE45FB" w:rsidRPr="00694D9E">
        <w:rPr>
          <w:sz w:val="24"/>
          <w:szCs w:val="24"/>
        </w:rPr>
        <w:t>6</w:t>
      </w:r>
      <w:r w:rsidR="004A0A21">
        <w:rPr>
          <w:sz w:val="24"/>
          <w:szCs w:val="24"/>
        </w:rPr>
        <w:t>3</w:t>
      </w:r>
      <w:r w:rsidRPr="00694D9E">
        <w:rPr>
          <w:sz w:val="24"/>
          <w:szCs w:val="24"/>
        </w:rPr>
        <w:t xml:space="preserve"> </w:t>
      </w:r>
      <w:r w:rsidRPr="00C656DD">
        <w:rPr>
          <w:color w:val="000000"/>
          <w:sz w:val="24"/>
          <w:szCs w:val="24"/>
        </w:rPr>
        <w:t>proc. (1 priedas. Kupiškio rajono savivaldybės 202</w:t>
      </w:r>
      <w:r w:rsidR="004A0A21">
        <w:rPr>
          <w:color w:val="000000"/>
          <w:sz w:val="24"/>
          <w:szCs w:val="24"/>
        </w:rPr>
        <w:t>3</w:t>
      </w:r>
      <w:r w:rsidRPr="00C656DD">
        <w:rPr>
          <w:color w:val="000000"/>
          <w:sz w:val="24"/>
          <w:szCs w:val="24"/>
        </w:rPr>
        <w:t xml:space="preserve"> metų biudžeto lėšų bendroms reikmėms tenkinti analizė).</w:t>
      </w:r>
    </w:p>
    <w:p w14:paraId="1F773E7B" w14:textId="14F6F18B" w:rsidR="00C656DD" w:rsidRPr="00C656DD" w:rsidRDefault="00C656DD" w:rsidP="00C656DD">
      <w:pPr>
        <w:tabs>
          <w:tab w:val="left" w:pos="993"/>
        </w:tabs>
        <w:spacing w:line="360" w:lineRule="auto"/>
        <w:ind w:firstLine="993"/>
        <w:rPr>
          <w:rFonts w:eastAsia="Calibri"/>
          <w:sz w:val="24"/>
          <w:szCs w:val="24"/>
        </w:rPr>
      </w:pPr>
      <w:r w:rsidRPr="00C656DD">
        <w:rPr>
          <w:rFonts w:eastAsia="Calibri"/>
          <w:sz w:val="24"/>
          <w:szCs w:val="24"/>
        </w:rPr>
        <w:t>Darbo užmokesčio fondas skaičiuojamas atsižvelgiant į nuo 202</w:t>
      </w:r>
      <w:r w:rsidR="004A0A21">
        <w:rPr>
          <w:rFonts w:eastAsia="Calibri"/>
          <w:sz w:val="24"/>
          <w:szCs w:val="24"/>
        </w:rPr>
        <w:t>3</w:t>
      </w:r>
      <w:r w:rsidRPr="00C656DD">
        <w:rPr>
          <w:rFonts w:eastAsia="Calibri"/>
          <w:sz w:val="24"/>
          <w:szCs w:val="24"/>
        </w:rPr>
        <w:t xml:space="preserve"> m. sausio 1 d. įgyvendinamus teisės aktus, didinančius darbo užmokestį, </w:t>
      </w:r>
      <w:r w:rsidR="00441106">
        <w:rPr>
          <w:rFonts w:eastAsia="Calibri"/>
          <w:sz w:val="24"/>
          <w:szCs w:val="24"/>
        </w:rPr>
        <w:t xml:space="preserve">t. y. socialinės paslaugų srities darbuotojų minimaliųjų pareiginės algos pastoviosios dalies koeficientų padidinimo </w:t>
      </w:r>
      <w:r w:rsidR="00B56A28">
        <w:rPr>
          <w:rFonts w:eastAsia="Calibri"/>
          <w:sz w:val="24"/>
          <w:szCs w:val="24"/>
        </w:rPr>
        <w:t>30</w:t>
      </w:r>
      <w:r w:rsidR="00441106">
        <w:rPr>
          <w:rFonts w:eastAsia="Calibri"/>
          <w:sz w:val="24"/>
          <w:szCs w:val="24"/>
        </w:rPr>
        <w:t xml:space="preserve"> proc., </w:t>
      </w:r>
      <w:r w:rsidR="00B56A28">
        <w:rPr>
          <w:rFonts w:eastAsia="Calibri"/>
          <w:sz w:val="24"/>
          <w:szCs w:val="24"/>
        </w:rPr>
        <w:t xml:space="preserve">minimalios mėnesinės algos padidinimą iki </w:t>
      </w:r>
      <w:r w:rsidR="004A0A21">
        <w:rPr>
          <w:rFonts w:eastAsia="Calibri"/>
          <w:sz w:val="24"/>
          <w:szCs w:val="24"/>
        </w:rPr>
        <w:t>840</w:t>
      </w:r>
      <w:r w:rsidR="00B56A28">
        <w:rPr>
          <w:rFonts w:eastAsia="Calibri"/>
          <w:sz w:val="24"/>
          <w:szCs w:val="24"/>
        </w:rPr>
        <w:t xml:space="preserve"> eurų, pareiginės algos bazinio dydžio padidinimą </w:t>
      </w:r>
      <w:r w:rsidR="00B56A28">
        <w:rPr>
          <w:rFonts w:eastAsia="Calibri"/>
          <w:sz w:val="24"/>
          <w:szCs w:val="24"/>
        </w:rPr>
        <w:lastRenderedPageBreak/>
        <w:t>iki 18</w:t>
      </w:r>
      <w:r w:rsidR="004A0A21">
        <w:rPr>
          <w:rFonts w:eastAsia="Calibri"/>
          <w:sz w:val="24"/>
          <w:szCs w:val="24"/>
        </w:rPr>
        <w:t>6</w:t>
      </w:r>
      <w:r w:rsidR="00B56A28">
        <w:rPr>
          <w:rFonts w:eastAsia="Calibri"/>
          <w:sz w:val="24"/>
          <w:szCs w:val="24"/>
        </w:rPr>
        <w:t xml:space="preserve"> eur</w:t>
      </w:r>
      <w:r w:rsidR="004A0A21">
        <w:rPr>
          <w:rFonts w:eastAsia="Calibri"/>
          <w:sz w:val="24"/>
          <w:szCs w:val="24"/>
        </w:rPr>
        <w:t>ų</w:t>
      </w:r>
      <w:r w:rsidR="00B56A28">
        <w:rPr>
          <w:rFonts w:eastAsia="Calibri"/>
          <w:sz w:val="24"/>
          <w:szCs w:val="24"/>
        </w:rPr>
        <w:t xml:space="preserve"> bei kitus</w:t>
      </w:r>
      <w:r w:rsidRPr="00C656DD">
        <w:rPr>
          <w:rFonts w:eastAsia="Calibri"/>
          <w:sz w:val="24"/>
          <w:szCs w:val="24"/>
        </w:rPr>
        <w:t xml:space="preserve"> Valstybės tarnybos, Valstybės ir savivaldybių įstaigų darbuotojų darbo apmokėjimo įstatymų pakeiti</w:t>
      </w:r>
      <w:r w:rsidR="004D16F4">
        <w:rPr>
          <w:rFonts w:eastAsia="Calibri"/>
          <w:sz w:val="24"/>
          <w:szCs w:val="24"/>
        </w:rPr>
        <w:t>mus</w:t>
      </w:r>
      <w:r w:rsidRPr="00C656DD">
        <w:rPr>
          <w:rFonts w:eastAsia="Calibri"/>
          <w:sz w:val="24"/>
          <w:szCs w:val="24"/>
        </w:rPr>
        <w:t xml:space="preserve">. Papildomai šiems pokyčiams įgyvendinti iš Savivaldybės biudžeto skiriama </w:t>
      </w:r>
      <w:r w:rsidR="004A0A21">
        <w:rPr>
          <w:rFonts w:eastAsia="Calibri"/>
          <w:sz w:val="24"/>
          <w:szCs w:val="24"/>
        </w:rPr>
        <w:t>80</w:t>
      </w:r>
      <w:r w:rsidR="00EF2137">
        <w:rPr>
          <w:rFonts w:eastAsia="Calibri"/>
          <w:sz w:val="24"/>
          <w:szCs w:val="24"/>
        </w:rPr>
        <w:t>4</w:t>
      </w:r>
      <w:r w:rsidRPr="00C656DD">
        <w:rPr>
          <w:rFonts w:eastAsia="Calibri"/>
          <w:sz w:val="24"/>
          <w:szCs w:val="24"/>
        </w:rPr>
        <w:t xml:space="preserve"> tūkst. eurų</w:t>
      </w:r>
      <w:r w:rsidR="00D91897">
        <w:rPr>
          <w:rFonts w:eastAsia="Calibri"/>
          <w:sz w:val="24"/>
          <w:szCs w:val="24"/>
        </w:rPr>
        <w:t>. Darbo grupės 202</w:t>
      </w:r>
      <w:r w:rsidR="00EF2137">
        <w:rPr>
          <w:rFonts w:eastAsia="Calibri"/>
          <w:sz w:val="24"/>
          <w:szCs w:val="24"/>
        </w:rPr>
        <w:t>3</w:t>
      </w:r>
      <w:r w:rsidR="00D91897">
        <w:rPr>
          <w:rFonts w:eastAsia="Calibri"/>
          <w:sz w:val="24"/>
          <w:szCs w:val="24"/>
        </w:rPr>
        <w:t xml:space="preserve"> metų Savivaldybės biudžeto projektui rengti sprendimu Savivaldybės biudžetinėms įstaigoms skiriamas darbo užmokesčio fondas mažinamas 3 proc. </w:t>
      </w:r>
    </w:p>
    <w:p w14:paraId="3CA4B905" w14:textId="43A17BE6" w:rsidR="00C656DD" w:rsidRPr="00C656DD" w:rsidRDefault="00C656DD" w:rsidP="00C656DD">
      <w:pPr>
        <w:tabs>
          <w:tab w:val="left" w:pos="993"/>
        </w:tabs>
        <w:spacing w:line="360" w:lineRule="auto"/>
        <w:ind w:firstLine="993"/>
        <w:rPr>
          <w:rFonts w:eastAsia="Calibri"/>
          <w:sz w:val="24"/>
          <w:szCs w:val="24"/>
        </w:rPr>
      </w:pPr>
      <w:r w:rsidRPr="00C656DD">
        <w:rPr>
          <w:rFonts w:eastAsia="Calibri"/>
          <w:sz w:val="24"/>
          <w:szCs w:val="24"/>
        </w:rPr>
        <w:t>Savivaldybės 202</w:t>
      </w:r>
      <w:r w:rsidR="00EF2137">
        <w:rPr>
          <w:rFonts w:eastAsia="Calibri"/>
          <w:sz w:val="24"/>
          <w:szCs w:val="24"/>
        </w:rPr>
        <w:t>3</w:t>
      </w:r>
      <w:r w:rsidRPr="00C656DD">
        <w:rPr>
          <w:rFonts w:eastAsia="Calibri"/>
          <w:sz w:val="24"/>
          <w:szCs w:val="24"/>
        </w:rPr>
        <w:t xml:space="preserve"> metų biudžeto asignavimai paskirstomi penkioms programoms vykdyti:</w:t>
      </w:r>
    </w:p>
    <w:p w14:paraId="165AC179" w14:textId="1335891B" w:rsidR="00C656DD" w:rsidRPr="00C656DD" w:rsidRDefault="00C656DD" w:rsidP="00C656DD">
      <w:pPr>
        <w:tabs>
          <w:tab w:val="left" w:pos="993"/>
        </w:tabs>
        <w:spacing w:line="360" w:lineRule="auto"/>
        <w:ind w:firstLine="993"/>
        <w:rPr>
          <w:rFonts w:eastAsia="Calibri"/>
          <w:sz w:val="24"/>
          <w:szCs w:val="24"/>
        </w:rPr>
      </w:pPr>
      <w:r w:rsidRPr="00C656DD">
        <w:rPr>
          <w:rFonts w:eastAsia="Calibri"/>
          <w:b/>
          <w:sz w:val="24"/>
          <w:szCs w:val="24"/>
        </w:rPr>
        <w:t>Žinių visuomenės, kultūrinio ir sportinio aktyvumo skatinimo programai</w:t>
      </w:r>
      <w:r w:rsidRPr="00C656DD">
        <w:rPr>
          <w:rFonts w:eastAsia="Calibri"/>
          <w:sz w:val="24"/>
          <w:szCs w:val="24"/>
        </w:rPr>
        <w:t xml:space="preserve"> – </w:t>
      </w:r>
      <w:r w:rsidR="00EF2137">
        <w:rPr>
          <w:rFonts w:eastAsia="Calibri"/>
          <w:sz w:val="24"/>
          <w:szCs w:val="24"/>
        </w:rPr>
        <w:t>12609,6</w:t>
      </w:r>
      <w:r w:rsidRPr="00C656DD">
        <w:rPr>
          <w:rFonts w:eastAsia="Calibri"/>
          <w:sz w:val="24"/>
          <w:szCs w:val="24"/>
        </w:rPr>
        <w:t xml:space="preserve"> tūkst. eurų, iš jų </w:t>
      </w:r>
      <w:r w:rsidR="00EF2137">
        <w:rPr>
          <w:rFonts w:eastAsia="Calibri"/>
          <w:sz w:val="24"/>
          <w:szCs w:val="24"/>
        </w:rPr>
        <w:t>10414</w:t>
      </w:r>
      <w:r w:rsidR="009B2FDF">
        <w:rPr>
          <w:rFonts w:eastAsia="Calibri"/>
          <w:sz w:val="24"/>
          <w:szCs w:val="24"/>
        </w:rPr>
        <w:t xml:space="preserve"> </w:t>
      </w:r>
      <w:r w:rsidRPr="00C656DD">
        <w:rPr>
          <w:rFonts w:eastAsia="Calibri"/>
          <w:sz w:val="24"/>
          <w:szCs w:val="24"/>
        </w:rPr>
        <w:t xml:space="preserve">tūkst. eurų darbo užmokesčio išlaidoms, </w:t>
      </w:r>
      <w:r w:rsidR="00EF2137">
        <w:rPr>
          <w:rFonts w:eastAsia="Calibri"/>
          <w:sz w:val="24"/>
          <w:szCs w:val="24"/>
        </w:rPr>
        <w:t>49,3</w:t>
      </w:r>
      <w:r w:rsidRPr="00C656DD">
        <w:rPr>
          <w:rFonts w:eastAsia="Calibri"/>
          <w:sz w:val="24"/>
          <w:szCs w:val="24"/>
        </w:rPr>
        <w:t xml:space="preserve"> tūkst. eurų turtui įsigyti, kitoms išlaidoms –</w:t>
      </w:r>
      <w:r w:rsidR="003E33B0">
        <w:rPr>
          <w:rFonts w:eastAsia="Calibri"/>
          <w:sz w:val="24"/>
          <w:szCs w:val="24"/>
        </w:rPr>
        <w:t xml:space="preserve">2146,3 </w:t>
      </w:r>
      <w:r w:rsidRPr="00C656DD">
        <w:rPr>
          <w:rFonts w:eastAsia="Calibri"/>
          <w:sz w:val="24"/>
          <w:szCs w:val="24"/>
        </w:rPr>
        <w:t xml:space="preserve">tūkst. eurų. </w:t>
      </w:r>
    </w:p>
    <w:p w14:paraId="32BCEB77" w14:textId="361CFD20" w:rsidR="00C656DD" w:rsidRPr="00C656DD" w:rsidRDefault="00C656DD" w:rsidP="00C656DD">
      <w:pPr>
        <w:tabs>
          <w:tab w:val="left" w:pos="993"/>
        </w:tabs>
        <w:spacing w:line="360" w:lineRule="auto"/>
        <w:ind w:firstLine="993"/>
        <w:rPr>
          <w:rFonts w:eastAsia="Calibri"/>
          <w:sz w:val="24"/>
          <w:szCs w:val="24"/>
        </w:rPr>
      </w:pPr>
      <w:r w:rsidRPr="00C656DD">
        <w:rPr>
          <w:rFonts w:eastAsia="Calibri"/>
          <w:sz w:val="24"/>
          <w:szCs w:val="24"/>
        </w:rPr>
        <w:t xml:space="preserve">Švietimo funkcijos išlaidoms skiriama </w:t>
      </w:r>
      <w:r w:rsidR="003E33B0">
        <w:rPr>
          <w:rFonts w:eastAsia="Calibri"/>
          <w:sz w:val="24"/>
          <w:szCs w:val="24"/>
        </w:rPr>
        <w:t>11078,7</w:t>
      </w:r>
      <w:r w:rsidRPr="00C656DD">
        <w:rPr>
          <w:rFonts w:eastAsia="Calibri"/>
          <w:sz w:val="24"/>
          <w:szCs w:val="24"/>
        </w:rPr>
        <w:t xml:space="preserve"> tūkst. eurų, iš jų </w:t>
      </w:r>
      <w:r w:rsidR="003E33B0">
        <w:rPr>
          <w:rFonts w:eastAsia="Calibri"/>
          <w:sz w:val="24"/>
          <w:szCs w:val="24"/>
        </w:rPr>
        <w:t>5760</w:t>
      </w:r>
      <w:r w:rsidRPr="00C656DD">
        <w:rPr>
          <w:rFonts w:eastAsia="Calibri"/>
          <w:sz w:val="24"/>
          <w:szCs w:val="24"/>
        </w:rPr>
        <w:t xml:space="preserve"> tūkst. eurų speciali tikslinė dotacija ugdymo reikmėms finansuoti. Nuo 2018 m. rugsėjo 1 d. pakeista ugdymo lėšų skyrimo tvarka ir lėšos apskaičiuojamos nebe vienam mokiniui, o pagal sąlyginį klasių (grupių) skaičių ir mokinių skaičių jose. 202</w:t>
      </w:r>
      <w:r w:rsidR="003E33B0">
        <w:rPr>
          <w:rFonts w:eastAsia="Calibri"/>
          <w:sz w:val="24"/>
          <w:szCs w:val="24"/>
        </w:rPr>
        <w:t>3</w:t>
      </w:r>
      <w:r w:rsidRPr="00C656DD">
        <w:rPr>
          <w:rFonts w:eastAsia="Calibri"/>
          <w:sz w:val="24"/>
          <w:szCs w:val="24"/>
        </w:rPr>
        <w:t xml:space="preserve"> metais lėšos ugdymo reikmėms </w:t>
      </w:r>
      <w:r w:rsidR="00242D39">
        <w:rPr>
          <w:rFonts w:eastAsia="Calibri"/>
          <w:sz w:val="24"/>
          <w:szCs w:val="24"/>
        </w:rPr>
        <w:t xml:space="preserve">didėja dėl </w:t>
      </w:r>
      <w:r w:rsidR="00E75467">
        <w:rPr>
          <w:rFonts w:eastAsia="Calibri"/>
          <w:sz w:val="24"/>
          <w:szCs w:val="24"/>
        </w:rPr>
        <w:t xml:space="preserve">9,1 </w:t>
      </w:r>
      <w:r w:rsidR="00242D39">
        <w:rPr>
          <w:rFonts w:eastAsia="Calibri"/>
          <w:sz w:val="24"/>
          <w:szCs w:val="24"/>
        </w:rPr>
        <w:t>proc. padidintų mokytojų pareiginės algos koeficientų, 10 proc. – dėl švietimo pagalbos specialistų darbo užmokesčio didinimo,</w:t>
      </w:r>
      <w:r w:rsidR="00E75467">
        <w:rPr>
          <w:rFonts w:eastAsia="Calibri"/>
          <w:sz w:val="24"/>
          <w:szCs w:val="24"/>
        </w:rPr>
        <w:t xml:space="preserve"> 18,1 proc. – dėl mokyklų vadovų koeficientų didinimo,</w:t>
      </w:r>
      <w:r w:rsidR="00242D39">
        <w:rPr>
          <w:rFonts w:eastAsia="Calibri"/>
          <w:sz w:val="24"/>
          <w:szCs w:val="24"/>
        </w:rPr>
        <w:t xml:space="preserve"> </w:t>
      </w:r>
      <w:r w:rsidR="00E75467">
        <w:rPr>
          <w:rFonts w:eastAsia="Calibri"/>
          <w:sz w:val="24"/>
          <w:szCs w:val="24"/>
        </w:rPr>
        <w:t>1</w:t>
      </w:r>
      <w:r w:rsidR="00242D39">
        <w:rPr>
          <w:rFonts w:eastAsia="Calibri"/>
          <w:sz w:val="24"/>
          <w:szCs w:val="24"/>
        </w:rPr>
        <w:t>5 proc. – dėl mokyklų bibliotekininkų darbo užmokesčio didinimo ir 2,</w:t>
      </w:r>
      <w:r w:rsidR="00E75467">
        <w:rPr>
          <w:rFonts w:eastAsia="Calibri"/>
          <w:sz w:val="24"/>
          <w:szCs w:val="24"/>
        </w:rPr>
        <w:t>76</w:t>
      </w:r>
      <w:r w:rsidR="00242D39">
        <w:rPr>
          <w:rFonts w:eastAsia="Calibri"/>
          <w:sz w:val="24"/>
          <w:szCs w:val="24"/>
        </w:rPr>
        <w:t xml:space="preserve"> proc. dėl pareiginės algos bazinio dydžio padidinimo.</w:t>
      </w:r>
      <w:r w:rsidR="00097229">
        <w:rPr>
          <w:rFonts w:eastAsia="Calibri"/>
          <w:sz w:val="24"/>
          <w:szCs w:val="24"/>
        </w:rPr>
        <w:t xml:space="preserve"> </w:t>
      </w:r>
      <w:r w:rsidR="00242D39">
        <w:rPr>
          <w:rFonts w:eastAsia="Calibri"/>
          <w:sz w:val="24"/>
          <w:szCs w:val="24"/>
        </w:rPr>
        <w:t>D</w:t>
      </w:r>
      <w:r w:rsidR="00097229">
        <w:rPr>
          <w:rFonts w:eastAsia="Calibri"/>
          <w:sz w:val="24"/>
          <w:szCs w:val="24"/>
        </w:rPr>
        <w:t xml:space="preserve">ėl koeficientų </w:t>
      </w:r>
      <w:r w:rsidR="00242D39">
        <w:rPr>
          <w:rFonts w:eastAsia="Calibri"/>
          <w:sz w:val="24"/>
          <w:szCs w:val="24"/>
        </w:rPr>
        <w:t>padidinimo m</w:t>
      </w:r>
      <w:r w:rsidR="00097229">
        <w:rPr>
          <w:rFonts w:eastAsia="Calibri"/>
          <w:sz w:val="24"/>
          <w:szCs w:val="24"/>
        </w:rPr>
        <w:t xml:space="preserve">okytojams, dirbantiems pagal ikimokyklinio, </w:t>
      </w:r>
      <w:r w:rsidR="00B959F2">
        <w:rPr>
          <w:rFonts w:eastAsia="Calibri"/>
          <w:sz w:val="24"/>
          <w:szCs w:val="24"/>
        </w:rPr>
        <w:t>priešmokyklinio ugdymo programas, minimalios mėnesinės algos padidinimo ir minimalių koeficientų ribų padidinimo kitiems darbuotojams</w:t>
      </w:r>
      <w:r w:rsidR="00B064B0">
        <w:rPr>
          <w:rFonts w:eastAsia="Calibri"/>
          <w:sz w:val="24"/>
          <w:szCs w:val="24"/>
        </w:rPr>
        <w:t>, pareiginės algos bazinio dydžio didėjimo</w:t>
      </w:r>
      <w:r w:rsidR="00B959F2">
        <w:rPr>
          <w:rFonts w:eastAsia="Calibri"/>
          <w:sz w:val="24"/>
          <w:szCs w:val="24"/>
        </w:rPr>
        <w:t>, palyginti su 202</w:t>
      </w:r>
      <w:r w:rsidR="00E75467">
        <w:rPr>
          <w:rFonts w:eastAsia="Calibri"/>
          <w:sz w:val="24"/>
          <w:szCs w:val="24"/>
        </w:rPr>
        <w:t>2</w:t>
      </w:r>
      <w:r w:rsidR="00B959F2">
        <w:rPr>
          <w:rFonts w:eastAsia="Calibri"/>
          <w:sz w:val="24"/>
          <w:szCs w:val="24"/>
        </w:rPr>
        <w:t xml:space="preserve"> m</w:t>
      </w:r>
      <w:r w:rsidR="00880D7A">
        <w:rPr>
          <w:rFonts w:eastAsia="Calibri"/>
          <w:sz w:val="24"/>
          <w:szCs w:val="24"/>
        </w:rPr>
        <w:t>.</w:t>
      </w:r>
      <w:r w:rsidR="00B959F2">
        <w:rPr>
          <w:rFonts w:eastAsia="Calibri"/>
          <w:sz w:val="24"/>
          <w:szCs w:val="24"/>
        </w:rPr>
        <w:t xml:space="preserve"> sausio 1 d.  – papildomai įskaičiuojama </w:t>
      </w:r>
      <w:r w:rsidR="009C2BEA">
        <w:rPr>
          <w:rFonts w:eastAsia="Calibri"/>
          <w:sz w:val="24"/>
          <w:szCs w:val="24"/>
        </w:rPr>
        <w:t>269,1</w:t>
      </w:r>
      <w:r w:rsidR="00B959F2">
        <w:rPr>
          <w:rFonts w:eastAsia="Calibri"/>
          <w:sz w:val="24"/>
          <w:szCs w:val="24"/>
        </w:rPr>
        <w:t xml:space="preserve"> tūkst. eurų. </w:t>
      </w:r>
    </w:p>
    <w:p w14:paraId="14A20A07" w14:textId="70F0E2FB" w:rsidR="00C656DD" w:rsidRPr="00C656DD" w:rsidRDefault="00C656DD" w:rsidP="00C656DD">
      <w:pPr>
        <w:tabs>
          <w:tab w:val="left" w:pos="993"/>
        </w:tabs>
        <w:spacing w:line="360" w:lineRule="auto"/>
        <w:ind w:firstLine="993"/>
        <w:rPr>
          <w:rFonts w:eastAsia="Calibri"/>
          <w:sz w:val="24"/>
          <w:szCs w:val="24"/>
        </w:rPr>
      </w:pPr>
      <w:r w:rsidRPr="00C656DD">
        <w:rPr>
          <w:rFonts w:eastAsia="Calibri"/>
          <w:sz w:val="24"/>
          <w:szCs w:val="24"/>
        </w:rPr>
        <w:t>Kultūros</w:t>
      </w:r>
      <w:r w:rsidR="00AF7B6A">
        <w:rPr>
          <w:rFonts w:eastAsia="Calibri"/>
          <w:sz w:val="24"/>
          <w:szCs w:val="24"/>
        </w:rPr>
        <w:t xml:space="preserve"> ir meno</w:t>
      </w:r>
      <w:r w:rsidRPr="00C656DD">
        <w:rPr>
          <w:rFonts w:eastAsia="Calibri"/>
          <w:sz w:val="24"/>
          <w:szCs w:val="24"/>
        </w:rPr>
        <w:t xml:space="preserve"> įstaigų išlaidoms finansuoti skiriama </w:t>
      </w:r>
      <w:r w:rsidR="00BF6FC2">
        <w:rPr>
          <w:rFonts w:eastAsia="Calibri"/>
          <w:sz w:val="24"/>
          <w:szCs w:val="24"/>
        </w:rPr>
        <w:t>1857,5</w:t>
      </w:r>
      <w:r w:rsidRPr="00C656DD">
        <w:rPr>
          <w:rFonts w:eastAsia="Calibri"/>
          <w:sz w:val="24"/>
          <w:szCs w:val="24"/>
        </w:rPr>
        <w:t xml:space="preserve"> tūkst. eurų, iš jų darbo užmokesčiui – </w:t>
      </w:r>
      <w:r w:rsidR="00BF6FC2">
        <w:rPr>
          <w:rFonts w:eastAsia="Calibri"/>
          <w:sz w:val="24"/>
          <w:szCs w:val="24"/>
        </w:rPr>
        <w:t>1521,8</w:t>
      </w:r>
      <w:r w:rsidR="00E0063A">
        <w:rPr>
          <w:rFonts w:eastAsia="Calibri"/>
          <w:sz w:val="24"/>
          <w:szCs w:val="24"/>
        </w:rPr>
        <w:t xml:space="preserve"> </w:t>
      </w:r>
      <w:r w:rsidRPr="00C656DD">
        <w:rPr>
          <w:rFonts w:eastAsia="Calibri"/>
          <w:sz w:val="24"/>
          <w:szCs w:val="24"/>
        </w:rPr>
        <w:t>tūkst. eurų</w:t>
      </w:r>
      <w:r w:rsidR="00563DD1">
        <w:rPr>
          <w:rFonts w:eastAsia="Calibri"/>
          <w:sz w:val="24"/>
          <w:szCs w:val="24"/>
        </w:rPr>
        <w:t xml:space="preserve">, </w:t>
      </w:r>
      <w:r w:rsidR="00BF6FC2">
        <w:rPr>
          <w:rFonts w:eastAsia="Calibri"/>
          <w:sz w:val="24"/>
          <w:szCs w:val="24"/>
        </w:rPr>
        <w:t>19,3</w:t>
      </w:r>
      <w:r w:rsidR="00563DD1">
        <w:rPr>
          <w:rFonts w:eastAsia="Calibri"/>
          <w:sz w:val="24"/>
          <w:szCs w:val="24"/>
        </w:rPr>
        <w:t xml:space="preserve"> tūkst. eurų turtui įsigyti.</w:t>
      </w:r>
      <w:r w:rsidR="00AF7B6A">
        <w:rPr>
          <w:rFonts w:eastAsia="Calibri"/>
          <w:sz w:val="24"/>
          <w:szCs w:val="24"/>
        </w:rPr>
        <w:t xml:space="preserve"> </w:t>
      </w:r>
    </w:p>
    <w:p w14:paraId="704CBE9D" w14:textId="44F5EC4F" w:rsidR="00960D7B" w:rsidRDefault="00BF6FC2" w:rsidP="00287407">
      <w:pPr>
        <w:tabs>
          <w:tab w:val="left" w:pos="993"/>
        </w:tabs>
        <w:spacing w:line="360" w:lineRule="auto"/>
        <w:ind w:firstLine="993"/>
        <w:rPr>
          <w:rFonts w:eastAsia="Calibri"/>
          <w:sz w:val="24"/>
          <w:szCs w:val="24"/>
        </w:rPr>
      </w:pPr>
      <w:r>
        <w:rPr>
          <w:rFonts w:eastAsia="Calibri"/>
          <w:sz w:val="24"/>
          <w:szCs w:val="24"/>
        </w:rPr>
        <w:t>V</w:t>
      </w:r>
      <w:r w:rsidR="00C656DD" w:rsidRPr="00C656DD">
        <w:rPr>
          <w:rFonts w:eastAsia="Calibri"/>
          <w:sz w:val="24"/>
          <w:szCs w:val="24"/>
        </w:rPr>
        <w:t>adovaujantis Savivaldybės tarybos patvirtintais finansavimo aprašais, 202</w:t>
      </w:r>
      <w:r>
        <w:rPr>
          <w:rFonts w:eastAsia="Calibri"/>
          <w:sz w:val="24"/>
          <w:szCs w:val="24"/>
        </w:rPr>
        <w:t>3</w:t>
      </w:r>
      <w:r w:rsidR="00C656DD" w:rsidRPr="00C656DD">
        <w:rPr>
          <w:rFonts w:eastAsia="Calibri"/>
          <w:sz w:val="24"/>
          <w:szCs w:val="24"/>
        </w:rPr>
        <w:t xml:space="preserve"> metų biudžete numatytos lėšos ir kitoms priemonėms finansuoti, iš jų: </w:t>
      </w:r>
      <w:r w:rsidR="00C656DD" w:rsidRPr="00C656DD">
        <w:rPr>
          <w:rFonts w:eastAsia="Calibri"/>
          <w:bCs/>
          <w:sz w:val="24"/>
          <w:szCs w:val="24"/>
        </w:rPr>
        <w:t>laisvalaikio užimtumo ir vasaros poilsio, vaikų ir jaunimo socializacijos projektams</w:t>
      </w:r>
      <w:r w:rsidR="00290166">
        <w:rPr>
          <w:rFonts w:eastAsia="Calibri"/>
          <w:bCs/>
          <w:sz w:val="24"/>
          <w:szCs w:val="24"/>
        </w:rPr>
        <w:t>, jaunimo iniciatyvų ir savanoriškos veiklos priemonėms</w:t>
      </w:r>
      <w:r w:rsidR="00C656DD" w:rsidRPr="00C656DD">
        <w:rPr>
          <w:rFonts w:eastAsia="Calibri"/>
          <w:bCs/>
          <w:sz w:val="24"/>
          <w:szCs w:val="24"/>
        </w:rPr>
        <w:t xml:space="preserve"> finansuoti</w:t>
      </w:r>
      <w:r w:rsidR="00C656DD" w:rsidRPr="00C656DD">
        <w:rPr>
          <w:rFonts w:eastAsia="Calibri"/>
          <w:sz w:val="24"/>
          <w:szCs w:val="24"/>
        </w:rPr>
        <w:t xml:space="preserve"> – </w:t>
      </w:r>
      <w:r w:rsidR="00290166">
        <w:rPr>
          <w:rFonts w:eastAsia="Calibri"/>
          <w:sz w:val="24"/>
          <w:szCs w:val="24"/>
        </w:rPr>
        <w:t>20</w:t>
      </w:r>
      <w:r w:rsidR="00C656DD" w:rsidRPr="00C656DD">
        <w:rPr>
          <w:rFonts w:eastAsia="Calibri"/>
          <w:sz w:val="24"/>
          <w:szCs w:val="24"/>
        </w:rPr>
        <w:t xml:space="preserve"> tūkst. eurų, nevyriausybinių ir sporto organizacijų projektams – </w:t>
      </w:r>
      <w:r>
        <w:rPr>
          <w:rFonts w:eastAsia="Calibri"/>
          <w:sz w:val="24"/>
          <w:szCs w:val="24"/>
        </w:rPr>
        <w:t>50</w:t>
      </w:r>
      <w:r w:rsidR="00C656DD" w:rsidRPr="00C656DD">
        <w:rPr>
          <w:rFonts w:eastAsia="Calibri"/>
          <w:sz w:val="24"/>
          <w:szCs w:val="24"/>
        </w:rPr>
        <w:t xml:space="preserve"> tūkst. eurų, Savivaldybės prisidėjimui prie Kultūros tarybos patvirtintų projektų – 10 tūkst. eurų, religinių bendruomenių teikiamiems projektams – </w:t>
      </w:r>
      <w:r w:rsidR="002B6CC3">
        <w:rPr>
          <w:rFonts w:eastAsia="Calibri"/>
          <w:sz w:val="24"/>
          <w:szCs w:val="24"/>
        </w:rPr>
        <w:t>5</w:t>
      </w:r>
      <w:r w:rsidR="00C656DD" w:rsidRPr="00C656DD">
        <w:rPr>
          <w:rFonts w:eastAsia="Calibri"/>
          <w:sz w:val="24"/>
          <w:szCs w:val="24"/>
        </w:rPr>
        <w:t xml:space="preserve"> tūkst. eurų</w:t>
      </w:r>
      <w:r>
        <w:rPr>
          <w:rFonts w:eastAsia="Calibri"/>
          <w:sz w:val="24"/>
          <w:szCs w:val="24"/>
        </w:rPr>
        <w:t xml:space="preserve">, studentų rėmimo priemonei – 5 tūkst. eurų </w:t>
      </w:r>
      <w:r w:rsidR="00C656DD" w:rsidRPr="00C656DD">
        <w:rPr>
          <w:rFonts w:eastAsia="Calibri"/>
          <w:sz w:val="24"/>
          <w:szCs w:val="24"/>
        </w:rPr>
        <w:t xml:space="preserve">ir kt. </w:t>
      </w:r>
      <w:r w:rsidR="00287407">
        <w:rPr>
          <w:rFonts w:eastAsia="Calibri"/>
          <w:sz w:val="24"/>
          <w:szCs w:val="24"/>
        </w:rPr>
        <w:t>Vertybių apsaugos funkcijai įgyvendinti, t. y. Palėvenės dominikonų vienuolyno ir Adomynės dvaro sodybos pastatų remonto darbų Savivaldyb</w:t>
      </w:r>
      <w:r w:rsidR="007B389D">
        <w:rPr>
          <w:rFonts w:eastAsia="Calibri"/>
          <w:sz w:val="24"/>
          <w:szCs w:val="24"/>
        </w:rPr>
        <w:t>ė</w:t>
      </w:r>
      <w:r w:rsidR="00E0063A">
        <w:rPr>
          <w:rFonts w:eastAsia="Calibri"/>
          <w:sz w:val="24"/>
          <w:szCs w:val="24"/>
        </w:rPr>
        <w:t>s</w:t>
      </w:r>
      <w:r w:rsidR="00287407">
        <w:rPr>
          <w:rFonts w:eastAsia="Calibri"/>
          <w:sz w:val="24"/>
          <w:szCs w:val="24"/>
        </w:rPr>
        <w:t xml:space="preserve"> dalie</w:t>
      </w:r>
      <w:r w:rsidR="007B389D">
        <w:rPr>
          <w:rFonts w:eastAsia="Calibri"/>
          <w:sz w:val="24"/>
          <w:szCs w:val="24"/>
        </w:rPr>
        <w:t>s</w:t>
      </w:r>
      <w:r w:rsidR="00287407">
        <w:rPr>
          <w:rFonts w:eastAsia="Calibri"/>
          <w:sz w:val="24"/>
          <w:szCs w:val="24"/>
        </w:rPr>
        <w:t xml:space="preserve"> išlaidoms – </w:t>
      </w:r>
      <w:r w:rsidR="00BA4149">
        <w:rPr>
          <w:rFonts w:eastAsia="Calibri"/>
          <w:sz w:val="24"/>
          <w:szCs w:val="24"/>
        </w:rPr>
        <w:t>50</w:t>
      </w:r>
      <w:r w:rsidR="00287407">
        <w:rPr>
          <w:rFonts w:eastAsia="Calibri"/>
          <w:sz w:val="24"/>
          <w:szCs w:val="24"/>
        </w:rPr>
        <w:t xml:space="preserve"> tūkst. eurų. </w:t>
      </w:r>
    </w:p>
    <w:p w14:paraId="0F4C6D60" w14:textId="07AAB53B" w:rsidR="00180329" w:rsidRPr="00034CC6" w:rsidRDefault="00C656DD" w:rsidP="00034CC6">
      <w:pPr>
        <w:spacing w:line="360" w:lineRule="auto"/>
        <w:ind w:firstLine="992"/>
        <w:rPr>
          <w:rFonts w:eastAsia="Calibri"/>
          <w:sz w:val="24"/>
          <w:szCs w:val="24"/>
        </w:rPr>
      </w:pPr>
      <w:r w:rsidRPr="00C656DD">
        <w:rPr>
          <w:rFonts w:eastAsia="Calibri"/>
          <w:b/>
          <w:sz w:val="24"/>
          <w:szCs w:val="24"/>
        </w:rPr>
        <w:t xml:space="preserve">Ekonominio konkurencingumo ir investicijų plėtros programai </w:t>
      </w:r>
      <w:r w:rsidRPr="00C656DD">
        <w:rPr>
          <w:rFonts w:eastAsia="Calibri"/>
          <w:sz w:val="24"/>
          <w:szCs w:val="24"/>
        </w:rPr>
        <w:t xml:space="preserve">– </w:t>
      </w:r>
      <w:r w:rsidR="0096099D">
        <w:rPr>
          <w:rFonts w:eastAsia="Calibri"/>
          <w:sz w:val="24"/>
          <w:szCs w:val="24"/>
        </w:rPr>
        <w:t xml:space="preserve">2174,9 </w:t>
      </w:r>
      <w:r w:rsidRPr="00C656DD">
        <w:rPr>
          <w:rFonts w:eastAsia="Calibri"/>
          <w:sz w:val="24"/>
          <w:szCs w:val="24"/>
        </w:rPr>
        <w:t xml:space="preserve">tūkst. eurų, iš jų turtui įsigyti – </w:t>
      </w:r>
      <w:r w:rsidR="0096099D">
        <w:rPr>
          <w:rFonts w:eastAsia="Calibri"/>
          <w:sz w:val="24"/>
          <w:szCs w:val="24"/>
        </w:rPr>
        <w:t>1792,2</w:t>
      </w:r>
      <w:r w:rsidRPr="00C656DD">
        <w:rPr>
          <w:rFonts w:eastAsia="Calibri"/>
          <w:sz w:val="24"/>
          <w:szCs w:val="24"/>
        </w:rPr>
        <w:t xml:space="preserve"> tūkst. eurų, kitoms išlaidoms – </w:t>
      </w:r>
      <w:r w:rsidR="0096099D">
        <w:rPr>
          <w:rFonts w:eastAsia="Calibri"/>
          <w:sz w:val="24"/>
          <w:szCs w:val="24"/>
        </w:rPr>
        <w:t>382,7</w:t>
      </w:r>
      <w:r w:rsidRPr="00C656DD">
        <w:rPr>
          <w:rFonts w:eastAsia="Calibri"/>
          <w:sz w:val="24"/>
          <w:szCs w:val="24"/>
        </w:rPr>
        <w:t xml:space="preserve"> tūkst. eurų. Šioje programoje iš Savivaldybės biudžeto pajamų savarankiškosioms funkcijoms vykdyti</w:t>
      </w:r>
      <w:r w:rsidR="00563DD1">
        <w:rPr>
          <w:rFonts w:eastAsia="Calibri"/>
          <w:sz w:val="24"/>
          <w:szCs w:val="24"/>
        </w:rPr>
        <w:t xml:space="preserve"> </w:t>
      </w:r>
      <w:r w:rsidR="00684F42">
        <w:rPr>
          <w:rFonts w:eastAsia="Calibri"/>
          <w:sz w:val="24"/>
          <w:szCs w:val="24"/>
        </w:rPr>
        <w:t xml:space="preserve"> </w:t>
      </w:r>
      <w:r w:rsidR="0096099D">
        <w:rPr>
          <w:rFonts w:eastAsia="Calibri"/>
          <w:sz w:val="24"/>
          <w:szCs w:val="24"/>
        </w:rPr>
        <w:t>65</w:t>
      </w:r>
      <w:r w:rsidRPr="00C656DD">
        <w:rPr>
          <w:rFonts w:eastAsia="Calibri"/>
          <w:sz w:val="24"/>
          <w:szCs w:val="24"/>
        </w:rPr>
        <w:t xml:space="preserve"> tūkst. eurų numatyta skirti projekto „Kupiškio rajono savivaldybės viešosios bibliotekos pastato Kupiškyje, Lauryno </w:t>
      </w:r>
      <w:r w:rsidRPr="00C656DD">
        <w:rPr>
          <w:rFonts w:eastAsia="Calibri"/>
          <w:sz w:val="24"/>
          <w:szCs w:val="24"/>
        </w:rPr>
        <w:lastRenderedPageBreak/>
        <w:t>Stuokos-Gucevičiaus a. 3A, rekonstravimas“ išlaidoms</w:t>
      </w:r>
      <w:r w:rsidR="00684F42">
        <w:rPr>
          <w:rFonts w:eastAsia="Calibri"/>
          <w:sz w:val="24"/>
          <w:szCs w:val="24"/>
        </w:rPr>
        <w:t xml:space="preserve"> (</w:t>
      </w:r>
      <w:r w:rsidR="0096099D">
        <w:rPr>
          <w:rFonts w:eastAsia="Calibri"/>
          <w:sz w:val="24"/>
          <w:szCs w:val="24"/>
        </w:rPr>
        <w:t>priešgaisrinės saugos rezervuarams įrengti</w:t>
      </w:r>
      <w:r w:rsidR="00684F42">
        <w:rPr>
          <w:rFonts w:eastAsia="Calibri"/>
          <w:sz w:val="24"/>
          <w:szCs w:val="24"/>
        </w:rPr>
        <w:t>)</w:t>
      </w:r>
      <w:r w:rsidRPr="00C656DD">
        <w:rPr>
          <w:rFonts w:eastAsia="Calibri"/>
          <w:sz w:val="24"/>
          <w:szCs w:val="24"/>
        </w:rPr>
        <w:t>,</w:t>
      </w:r>
      <w:r w:rsidR="00684F42">
        <w:rPr>
          <w:rFonts w:eastAsia="Calibri"/>
          <w:sz w:val="24"/>
          <w:szCs w:val="24"/>
        </w:rPr>
        <w:t xml:space="preserve"> </w:t>
      </w:r>
      <w:r w:rsidR="0096099D">
        <w:rPr>
          <w:rFonts w:eastAsia="Calibri"/>
          <w:sz w:val="24"/>
          <w:szCs w:val="24"/>
        </w:rPr>
        <w:t xml:space="preserve">670,2 </w:t>
      </w:r>
      <w:r w:rsidR="00684F42">
        <w:rPr>
          <w:rFonts w:eastAsia="Calibri"/>
          <w:sz w:val="24"/>
          <w:szCs w:val="24"/>
        </w:rPr>
        <w:t xml:space="preserve"> tūkst. eur</w:t>
      </w:r>
      <w:r w:rsidR="0096099D">
        <w:rPr>
          <w:rFonts w:eastAsia="Calibri"/>
          <w:sz w:val="24"/>
          <w:szCs w:val="24"/>
        </w:rPr>
        <w:t xml:space="preserve">ų – projektui </w:t>
      </w:r>
      <w:r w:rsidR="00684F42" w:rsidRPr="00F579A1">
        <w:rPr>
          <w:sz w:val="24"/>
          <w:szCs w:val="24"/>
        </w:rPr>
        <w:t>„Sveikatingumo ir sporto komplekso Kupiškyje, K. Šimonio g. 1A, statyba“</w:t>
      </w:r>
      <w:r w:rsidR="00637BD5">
        <w:rPr>
          <w:sz w:val="24"/>
          <w:szCs w:val="24"/>
        </w:rPr>
        <w:t xml:space="preserve"> (statybos darbams užbaigti ir daliai priemonių įsigyti) </w:t>
      </w:r>
      <w:r w:rsidR="00FF4FE7" w:rsidRPr="00F579A1">
        <w:rPr>
          <w:sz w:val="24"/>
          <w:szCs w:val="24"/>
        </w:rPr>
        <w:t>,</w:t>
      </w:r>
      <w:r w:rsidR="0096099D">
        <w:rPr>
          <w:sz w:val="24"/>
          <w:szCs w:val="24"/>
        </w:rPr>
        <w:t xml:space="preserve"> 703,2 tūkst. eurų</w:t>
      </w:r>
      <w:r w:rsidR="00637BD5">
        <w:rPr>
          <w:sz w:val="24"/>
          <w:szCs w:val="24"/>
        </w:rPr>
        <w:t xml:space="preserve">, iš jų 488 tūkst. eurų paskolos lėšos </w:t>
      </w:r>
      <w:r w:rsidR="0096099D">
        <w:rPr>
          <w:sz w:val="24"/>
          <w:szCs w:val="24"/>
        </w:rPr>
        <w:t xml:space="preserve">– projektui „Kupiškio rajono savivaldybės administracinio </w:t>
      </w:r>
      <w:r w:rsidR="00D15F70">
        <w:rPr>
          <w:sz w:val="24"/>
          <w:szCs w:val="24"/>
        </w:rPr>
        <w:t>pastato energetinio efektyvumo didinimas“</w:t>
      </w:r>
      <w:r w:rsidR="00637BD5">
        <w:rPr>
          <w:sz w:val="24"/>
          <w:szCs w:val="24"/>
        </w:rPr>
        <w:t xml:space="preserve"> (</w:t>
      </w:r>
      <w:r w:rsidR="005F29D9">
        <w:rPr>
          <w:sz w:val="24"/>
          <w:szCs w:val="24"/>
        </w:rPr>
        <w:t>pastato atnaujinimas (modernizavimas)</w:t>
      </w:r>
      <w:r w:rsidR="00D15F70">
        <w:rPr>
          <w:sz w:val="24"/>
          <w:szCs w:val="24"/>
        </w:rPr>
        <w:t>, 45</w:t>
      </w:r>
      <w:r w:rsidRPr="00F579A1">
        <w:rPr>
          <w:rFonts w:eastAsia="Calibri"/>
          <w:sz w:val="24"/>
          <w:szCs w:val="24"/>
        </w:rPr>
        <w:t xml:space="preserve"> tūkst. eurų – projektui </w:t>
      </w:r>
      <w:r w:rsidRPr="00034CC6">
        <w:rPr>
          <w:rFonts w:eastAsia="Calibri"/>
          <w:sz w:val="24"/>
          <w:szCs w:val="24"/>
        </w:rPr>
        <w:t>„</w:t>
      </w:r>
      <w:r w:rsidR="00034CC6" w:rsidRPr="00034CC6">
        <w:rPr>
          <w:rFonts w:eastAsia="Calibri"/>
          <w:sz w:val="24"/>
          <w:szCs w:val="24"/>
        </w:rPr>
        <w:t>Lauko teniso aikštelės statyba Marių g. 9, Aukštupėnų k., Kupiškio sen., Kupiškio r</w:t>
      </w:r>
      <w:r w:rsidR="00034CC6">
        <w:rPr>
          <w:rFonts w:eastAsia="Calibri"/>
          <w:sz w:val="24"/>
          <w:szCs w:val="24"/>
        </w:rPr>
        <w:t>.“</w:t>
      </w:r>
      <w:r w:rsidR="005F29D9">
        <w:rPr>
          <w:rFonts w:eastAsia="Calibri"/>
          <w:sz w:val="24"/>
          <w:szCs w:val="24"/>
        </w:rPr>
        <w:t xml:space="preserve"> (sporto aikštelių įrengimui užbaigti)</w:t>
      </w:r>
      <w:r w:rsidR="00563DD1" w:rsidRPr="00F579A1">
        <w:rPr>
          <w:rFonts w:eastAsia="Calibri"/>
          <w:sz w:val="24"/>
          <w:szCs w:val="24"/>
        </w:rPr>
        <w:t xml:space="preserve">, </w:t>
      </w:r>
      <w:r w:rsidR="00034CC6">
        <w:rPr>
          <w:rFonts w:eastAsia="Calibri"/>
          <w:sz w:val="24"/>
          <w:szCs w:val="24"/>
        </w:rPr>
        <w:t>60</w:t>
      </w:r>
      <w:r w:rsidR="00563DD1" w:rsidRPr="00F579A1">
        <w:rPr>
          <w:rFonts w:eastAsia="Calibri"/>
          <w:sz w:val="24"/>
          <w:szCs w:val="24"/>
        </w:rPr>
        <w:t xml:space="preserve"> tūkst. eurų – projektui „</w:t>
      </w:r>
      <w:r w:rsidR="00034CC6">
        <w:rPr>
          <w:rFonts w:eastAsia="Calibri"/>
          <w:sz w:val="24"/>
          <w:szCs w:val="24"/>
        </w:rPr>
        <w:t xml:space="preserve">Šmito malūno su technologine įranga S. Dariaus ir S. Girėno g. 12A, </w:t>
      </w:r>
      <w:r w:rsidR="00BB6D62">
        <w:rPr>
          <w:rFonts w:eastAsia="Calibri"/>
          <w:sz w:val="24"/>
          <w:szCs w:val="24"/>
        </w:rPr>
        <w:t>K</w:t>
      </w:r>
      <w:r w:rsidR="00034CC6">
        <w:rPr>
          <w:rFonts w:eastAsia="Calibri"/>
          <w:sz w:val="24"/>
          <w:szCs w:val="24"/>
        </w:rPr>
        <w:t>upiškyje</w:t>
      </w:r>
      <w:r w:rsidR="002C46AD">
        <w:rPr>
          <w:rFonts w:eastAsia="Calibri"/>
          <w:sz w:val="24"/>
          <w:szCs w:val="24"/>
        </w:rPr>
        <w:t>,</w:t>
      </w:r>
      <w:r w:rsidR="00034CC6">
        <w:rPr>
          <w:rFonts w:eastAsia="Calibri"/>
          <w:sz w:val="24"/>
          <w:szCs w:val="24"/>
        </w:rPr>
        <w:t xml:space="preserve"> pritaikymas visuomenės ir turizmo poreikiams</w:t>
      </w:r>
      <w:r w:rsidR="005F29D9">
        <w:rPr>
          <w:rFonts w:eastAsia="Calibri"/>
          <w:sz w:val="24"/>
          <w:szCs w:val="24"/>
        </w:rPr>
        <w:t xml:space="preserve"> (projekto parengimo išlaidoms)</w:t>
      </w:r>
      <w:r w:rsidR="00BB6D62">
        <w:rPr>
          <w:rFonts w:eastAsia="Calibri"/>
          <w:sz w:val="24"/>
          <w:szCs w:val="24"/>
        </w:rPr>
        <w:t>“</w:t>
      </w:r>
      <w:r w:rsidR="00180329">
        <w:rPr>
          <w:sz w:val="24"/>
          <w:szCs w:val="24"/>
        </w:rPr>
        <w:t xml:space="preserve">. </w:t>
      </w:r>
      <w:r w:rsidR="00F4286E">
        <w:rPr>
          <w:sz w:val="24"/>
          <w:szCs w:val="24"/>
        </w:rPr>
        <w:t>Numatoma turizmo ir verslo plėtros finansavimo priemonėms įgyvendinti skirti 1</w:t>
      </w:r>
      <w:r w:rsidR="00B32B8B">
        <w:rPr>
          <w:sz w:val="24"/>
          <w:szCs w:val="24"/>
        </w:rPr>
        <w:t>15</w:t>
      </w:r>
      <w:r w:rsidR="00F4286E">
        <w:rPr>
          <w:sz w:val="24"/>
          <w:szCs w:val="24"/>
        </w:rPr>
        <w:t xml:space="preserve"> tūkst. eurų, iš jų 2</w:t>
      </w:r>
      <w:r w:rsidR="00B32B8B">
        <w:rPr>
          <w:sz w:val="24"/>
          <w:szCs w:val="24"/>
        </w:rPr>
        <w:t>5</w:t>
      </w:r>
      <w:r w:rsidR="00F4286E">
        <w:rPr>
          <w:sz w:val="24"/>
          <w:szCs w:val="24"/>
        </w:rPr>
        <w:t xml:space="preserve"> tūkst. eurų verslo rėmimo programai.  </w:t>
      </w:r>
    </w:p>
    <w:p w14:paraId="52BD25CC" w14:textId="7F3C273B" w:rsidR="0095348C" w:rsidRPr="0095348C" w:rsidRDefault="00C656DD" w:rsidP="0095348C">
      <w:pPr>
        <w:tabs>
          <w:tab w:val="left" w:pos="993"/>
        </w:tabs>
        <w:spacing w:line="360" w:lineRule="auto"/>
        <w:ind w:firstLine="993"/>
        <w:rPr>
          <w:sz w:val="24"/>
          <w:szCs w:val="24"/>
        </w:rPr>
      </w:pPr>
      <w:r w:rsidRPr="00C656DD">
        <w:rPr>
          <w:rFonts w:eastAsia="Calibri"/>
          <w:b/>
          <w:sz w:val="24"/>
          <w:szCs w:val="24"/>
        </w:rPr>
        <w:t xml:space="preserve">Viešosios infrastruktūros plėtros programai </w:t>
      </w:r>
      <w:r w:rsidRPr="00C656DD">
        <w:rPr>
          <w:rFonts w:eastAsia="Calibri"/>
          <w:sz w:val="24"/>
          <w:szCs w:val="24"/>
        </w:rPr>
        <w:t xml:space="preserve">– </w:t>
      </w:r>
      <w:r w:rsidR="00B32B8B">
        <w:rPr>
          <w:rFonts w:eastAsia="Calibri"/>
          <w:sz w:val="24"/>
          <w:szCs w:val="24"/>
        </w:rPr>
        <w:t xml:space="preserve">2529,3 </w:t>
      </w:r>
      <w:r w:rsidRPr="00C656DD">
        <w:rPr>
          <w:rFonts w:eastAsia="Calibri"/>
          <w:sz w:val="24"/>
          <w:szCs w:val="24"/>
        </w:rPr>
        <w:t xml:space="preserve">tūkst. eurų, iš jų darbo užmokesčiui – </w:t>
      </w:r>
      <w:r w:rsidR="00B32B8B">
        <w:rPr>
          <w:rFonts w:eastAsia="Calibri"/>
          <w:sz w:val="24"/>
          <w:szCs w:val="24"/>
        </w:rPr>
        <w:t>279,8</w:t>
      </w:r>
      <w:r w:rsidRPr="00C656DD">
        <w:rPr>
          <w:rFonts w:eastAsia="Calibri"/>
          <w:sz w:val="24"/>
          <w:szCs w:val="24"/>
        </w:rPr>
        <w:t xml:space="preserve"> tūkst. eurų, </w:t>
      </w:r>
      <w:r w:rsidR="00B32B8B">
        <w:rPr>
          <w:rFonts w:eastAsia="Calibri"/>
          <w:sz w:val="24"/>
          <w:szCs w:val="24"/>
        </w:rPr>
        <w:t>43,4</w:t>
      </w:r>
      <w:r w:rsidRPr="00C656DD">
        <w:rPr>
          <w:rFonts w:eastAsia="Calibri"/>
          <w:sz w:val="24"/>
          <w:szCs w:val="24"/>
        </w:rPr>
        <w:t xml:space="preserve"> tūkst. eurų turtui įsigyti, kitoms išlaidoms – </w:t>
      </w:r>
      <w:r w:rsidR="00B32B8B">
        <w:rPr>
          <w:rFonts w:eastAsia="Calibri"/>
          <w:sz w:val="24"/>
          <w:szCs w:val="24"/>
        </w:rPr>
        <w:t>2206,1</w:t>
      </w:r>
      <w:r w:rsidRPr="00C656DD">
        <w:rPr>
          <w:rFonts w:eastAsia="Calibri"/>
          <w:sz w:val="24"/>
          <w:szCs w:val="24"/>
        </w:rPr>
        <w:t xml:space="preserve"> tūkst. eurų. Miesto ir gyvenviečių tvarkymo, gatvių ir jų apšvietimo, žaliųjų p</w:t>
      </w:r>
      <w:r w:rsidR="00B32B8B">
        <w:rPr>
          <w:rFonts w:eastAsia="Calibri"/>
          <w:sz w:val="24"/>
          <w:szCs w:val="24"/>
        </w:rPr>
        <w:t>l</w:t>
      </w:r>
      <w:r w:rsidRPr="00C656DD">
        <w:rPr>
          <w:rFonts w:eastAsia="Calibri"/>
          <w:sz w:val="24"/>
          <w:szCs w:val="24"/>
        </w:rPr>
        <w:t xml:space="preserve">otų ir želdinių priežiūros darbams numatoma skirti </w:t>
      </w:r>
      <w:r w:rsidR="00B32B8B">
        <w:rPr>
          <w:rFonts w:eastAsia="Calibri"/>
          <w:sz w:val="24"/>
          <w:szCs w:val="24"/>
        </w:rPr>
        <w:t>944,9</w:t>
      </w:r>
      <w:r w:rsidR="00AF0200">
        <w:rPr>
          <w:rFonts w:eastAsia="Calibri"/>
          <w:sz w:val="24"/>
          <w:szCs w:val="24"/>
        </w:rPr>
        <w:t xml:space="preserve"> </w:t>
      </w:r>
      <w:r w:rsidRPr="00C656DD">
        <w:rPr>
          <w:rFonts w:eastAsia="Calibri"/>
          <w:sz w:val="24"/>
          <w:szCs w:val="24"/>
        </w:rPr>
        <w:t xml:space="preserve">tūkst. eurų, atliekų tvarkymui – </w:t>
      </w:r>
      <w:r w:rsidR="00B32B8B">
        <w:rPr>
          <w:rFonts w:eastAsia="Calibri"/>
          <w:sz w:val="24"/>
          <w:szCs w:val="24"/>
        </w:rPr>
        <w:t>1060</w:t>
      </w:r>
      <w:r w:rsidRPr="00C656DD">
        <w:rPr>
          <w:rFonts w:eastAsia="Calibri"/>
          <w:sz w:val="24"/>
          <w:szCs w:val="24"/>
        </w:rPr>
        <w:t xml:space="preserve"> tūkst. eurų, iš jų lėšos iš vietinės rinkliavos už komunalinių atliekų tvarkymą – </w:t>
      </w:r>
      <w:r w:rsidR="00F4286E">
        <w:rPr>
          <w:rFonts w:eastAsia="Calibri"/>
          <w:sz w:val="24"/>
          <w:szCs w:val="24"/>
        </w:rPr>
        <w:t>6</w:t>
      </w:r>
      <w:r w:rsidR="00B32B8B">
        <w:rPr>
          <w:rFonts w:eastAsia="Calibri"/>
          <w:sz w:val="24"/>
          <w:szCs w:val="24"/>
        </w:rPr>
        <w:t>6</w:t>
      </w:r>
      <w:r w:rsidR="00F4286E">
        <w:rPr>
          <w:rFonts w:eastAsia="Calibri"/>
          <w:sz w:val="24"/>
          <w:szCs w:val="24"/>
        </w:rPr>
        <w:t>0</w:t>
      </w:r>
      <w:r w:rsidRPr="00C656DD">
        <w:rPr>
          <w:rFonts w:eastAsia="Calibri"/>
          <w:sz w:val="24"/>
          <w:szCs w:val="24"/>
        </w:rPr>
        <w:t xml:space="preserve"> tūkst. eurų, vietinių kelių ir gatvių priežiūros išlaidoms</w:t>
      </w:r>
      <w:r w:rsidR="00BC6AC2">
        <w:rPr>
          <w:rFonts w:eastAsia="Calibri"/>
          <w:sz w:val="24"/>
          <w:szCs w:val="24"/>
        </w:rPr>
        <w:t xml:space="preserve"> (</w:t>
      </w:r>
      <w:r w:rsidR="00F4286E">
        <w:rPr>
          <w:rFonts w:eastAsia="Calibri"/>
          <w:sz w:val="24"/>
          <w:szCs w:val="24"/>
        </w:rPr>
        <w:t>be Kelių priežiūros ir plėtros programos lėšų)</w:t>
      </w:r>
      <w:r w:rsidRPr="00C656DD">
        <w:rPr>
          <w:rFonts w:eastAsia="Calibri"/>
          <w:sz w:val="24"/>
          <w:szCs w:val="24"/>
        </w:rPr>
        <w:t xml:space="preserve"> – </w:t>
      </w:r>
      <w:r w:rsidR="00B32B8B">
        <w:rPr>
          <w:rFonts w:eastAsia="Calibri"/>
          <w:sz w:val="24"/>
          <w:szCs w:val="24"/>
        </w:rPr>
        <w:t>338,4</w:t>
      </w:r>
      <w:r w:rsidRPr="00C656DD">
        <w:rPr>
          <w:rFonts w:eastAsia="Calibri"/>
          <w:sz w:val="24"/>
          <w:szCs w:val="24"/>
        </w:rPr>
        <w:t xml:space="preserve"> tūkst. eurų, i</w:t>
      </w:r>
      <w:r w:rsidRPr="00C656DD">
        <w:rPr>
          <w:sz w:val="24"/>
          <w:szCs w:val="24"/>
        </w:rPr>
        <w:t xml:space="preserve">ndividualių nuotekų valymo įrenginių įrengimo arba prijungimo išlaidoms kompensuoti – </w:t>
      </w:r>
      <w:r w:rsidR="00F4286E">
        <w:rPr>
          <w:sz w:val="24"/>
          <w:szCs w:val="24"/>
        </w:rPr>
        <w:t>15</w:t>
      </w:r>
      <w:r w:rsidRPr="00C656DD">
        <w:rPr>
          <w:sz w:val="24"/>
          <w:szCs w:val="24"/>
        </w:rPr>
        <w:t xml:space="preserve"> </w:t>
      </w:r>
      <w:r w:rsidRPr="00C656DD">
        <w:rPr>
          <w:rFonts w:eastAsia="Calibri"/>
          <w:sz w:val="24"/>
          <w:szCs w:val="24"/>
        </w:rPr>
        <w:t>tūkst. eurų</w:t>
      </w:r>
      <w:r w:rsidRPr="00C656DD">
        <w:rPr>
          <w:sz w:val="24"/>
          <w:szCs w:val="24"/>
        </w:rPr>
        <w:t>.</w:t>
      </w:r>
      <w:r w:rsidR="007F65FD">
        <w:rPr>
          <w:sz w:val="24"/>
          <w:szCs w:val="24"/>
        </w:rPr>
        <w:t xml:space="preserve"> </w:t>
      </w:r>
      <w:r w:rsidR="004E531D">
        <w:rPr>
          <w:sz w:val="24"/>
          <w:szCs w:val="24"/>
        </w:rPr>
        <w:t>Numatoma</w:t>
      </w:r>
      <w:r w:rsidR="00481DDD">
        <w:rPr>
          <w:sz w:val="24"/>
          <w:szCs w:val="24"/>
        </w:rPr>
        <w:t>s</w:t>
      </w:r>
      <w:r w:rsidR="004E531D">
        <w:rPr>
          <w:sz w:val="24"/>
          <w:szCs w:val="24"/>
        </w:rPr>
        <w:t xml:space="preserve"> automobilių stovėjimo aikštelių</w:t>
      </w:r>
      <w:r w:rsidR="00481DDD">
        <w:rPr>
          <w:sz w:val="24"/>
          <w:szCs w:val="24"/>
        </w:rPr>
        <w:t>, šaligatvių</w:t>
      </w:r>
      <w:r w:rsidR="004E531D">
        <w:rPr>
          <w:sz w:val="24"/>
          <w:szCs w:val="24"/>
        </w:rPr>
        <w:t xml:space="preserve"> remontas</w:t>
      </w:r>
      <w:r w:rsidR="00AE61C3">
        <w:rPr>
          <w:sz w:val="24"/>
          <w:szCs w:val="24"/>
        </w:rPr>
        <w:t xml:space="preserve"> (</w:t>
      </w:r>
      <w:r w:rsidR="00481DDD">
        <w:rPr>
          <w:sz w:val="24"/>
          <w:szCs w:val="24"/>
        </w:rPr>
        <w:t>30</w:t>
      </w:r>
      <w:r w:rsidR="00AE61C3">
        <w:rPr>
          <w:sz w:val="24"/>
          <w:szCs w:val="24"/>
        </w:rPr>
        <w:t xml:space="preserve"> tūkst. eurų)</w:t>
      </w:r>
      <w:r w:rsidR="00481DDD">
        <w:rPr>
          <w:sz w:val="24"/>
          <w:szCs w:val="24"/>
        </w:rPr>
        <w:t>, viešosiose erdvėse įrengtų poilsiui skirtų priemonių remontas (20 tūkst. eurų)</w:t>
      </w:r>
      <w:r w:rsidR="00AE61C3">
        <w:rPr>
          <w:sz w:val="24"/>
          <w:szCs w:val="24"/>
        </w:rPr>
        <w:t xml:space="preserve"> ir kitos </w:t>
      </w:r>
      <w:r w:rsidR="009453A8">
        <w:rPr>
          <w:sz w:val="24"/>
          <w:szCs w:val="24"/>
        </w:rPr>
        <w:t>veiklos</w:t>
      </w:r>
      <w:r w:rsidR="00AE61C3">
        <w:rPr>
          <w:sz w:val="24"/>
          <w:szCs w:val="24"/>
        </w:rPr>
        <w:t xml:space="preserve">. </w:t>
      </w:r>
    </w:p>
    <w:p w14:paraId="7DE4A74D" w14:textId="28B0D26E" w:rsidR="00C23DC9" w:rsidRDefault="00C656DD" w:rsidP="00C656DD">
      <w:pPr>
        <w:tabs>
          <w:tab w:val="left" w:pos="993"/>
        </w:tabs>
        <w:spacing w:line="360" w:lineRule="auto"/>
        <w:ind w:firstLine="993"/>
        <w:rPr>
          <w:rFonts w:eastAsia="Calibri"/>
          <w:sz w:val="24"/>
          <w:szCs w:val="24"/>
        </w:rPr>
      </w:pPr>
      <w:r w:rsidRPr="00C656DD">
        <w:rPr>
          <w:rFonts w:eastAsia="Calibri"/>
          <w:b/>
          <w:sz w:val="24"/>
          <w:szCs w:val="24"/>
        </w:rPr>
        <w:t>Socialinės ir sveikatos apsaugos programai</w:t>
      </w:r>
      <w:r w:rsidRPr="00C656DD">
        <w:rPr>
          <w:rFonts w:eastAsia="Calibri"/>
          <w:sz w:val="24"/>
          <w:szCs w:val="24"/>
        </w:rPr>
        <w:t xml:space="preserve"> – </w:t>
      </w:r>
      <w:r w:rsidR="00481DDD">
        <w:rPr>
          <w:rFonts w:eastAsia="Calibri"/>
          <w:sz w:val="24"/>
          <w:szCs w:val="24"/>
        </w:rPr>
        <w:t>6557,9</w:t>
      </w:r>
      <w:r w:rsidRPr="00C656DD">
        <w:rPr>
          <w:rFonts w:eastAsia="Calibri"/>
          <w:sz w:val="24"/>
          <w:szCs w:val="24"/>
        </w:rPr>
        <w:t xml:space="preserve"> tūkst. eurų, iš jų darbo užmokesčiui – </w:t>
      </w:r>
      <w:r w:rsidR="00481DDD">
        <w:rPr>
          <w:rFonts w:eastAsia="Calibri"/>
          <w:sz w:val="24"/>
          <w:szCs w:val="24"/>
        </w:rPr>
        <w:t>2702,5</w:t>
      </w:r>
      <w:r w:rsidRPr="00C656DD">
        <w:rPr>
          <w:rFonts w:eastAsia="Calibri"/>
          <w:sz w:val="24"/>
          <w:szCs w:val="24"/>
        </w:rPr>
        <w:t xml:space="preserve"> tūkst. eurų</w:t>
      </w:r>
      <w:r w:rsidR="000D2F0A">
        <w:rPr>
          <w:rFonts w:eastAsia="Calibri"/>
          <w:sz w:val="24"/>
          <w:szCs w:val="24"/>
        </w:rPr>
        <w:t xml:space="preserve">, turtui įsigyti </w:t>
      </w:r>
      <w:r w:rsidR="00481DDD">
        <w:rPr>
          <w:rFonts w:eastAsia="Calibri"/>
          <w:sz w:val="24"/>
          <w:szCs w:val="24"/>
        </w:rPr>
        <w:t>81,8</w:t>
      </w:r>
      <w:r w:rsidR="000D2F0A">
        <w:rPr>
          <w:rFonts w:eastAsia="Calibri"/>
          <w:sz w:val="24"/>
          <w:szCs w:val="24"/>
        </w:rPr>
        <w:t xml:space="preserve"> tūkst. eurų. </w:t>
      </w:r>
      <w:r w:rsidRPr="00C656DD">
        <w:rPr>
          <w:rFonts w:eastAsia="Calibri"/>
          <w:sz w:val="24"/>
          <w:szCs w:val="24"/>
        </w:rPr>
        <w:t>Iš Savivaldybės biudžeto savarankiškujų pajamų socialinėms pašalpoms</w:t>
      </w:r>
      <w:r w:rsidR="001B2ED6">
        <w:rPr>
          <w:rFonts w:eastAsia="Calibri"/>
          <w:sz w:val="24"/>
          <w:szCs w:val="24"/>
        </w:rPr>
        <w:t xml:space="preserve"> mokėti numatyta</w:t>
      </w:r>
      <w:r w:rsidRPr="00C656DD">
        <w:rPr>
          <w:rFonts w:eastAsia="Calibri"/>
          <w:sz w:val="24"/>
          <w:szCs w:val="24"/>
        </w:rPr>
        <w:t xml:space="preserve"> </w:t>
      </w:r>
      <w:r w:rsidR="00DC0F0A">
        <w:rPr>
          <w:rFonts w:eastAsia="Calibri"/>
          <w:sz w:val="24"/>
          <w:szCs w:val="24"/>
        </w:rPr>
        <w:t>750,4</w:t>
      </w:r>
      <w:r w:rsidRPr="00C656DD">
        <w:rPr>
          <w:rFonts w:eastAsia="Calibri"/>
          <w:sz w:val="24"/>
          <w:szCs w:val="24"/>
        </w:rPr>
        <w:t xml:space="preserve"> tūkst. eurų,</w:t>
      </w:r>
      <w:r w:rsidR="00011283">
        <w:rPr>
          <w:rFonts w:eastAsia="Calibri"/>
          <w:sz w:val="24"/>
          <w:szCs w:val="24"/>
        </w:rPr>
        <w:t xml:space="preserve"> </w:t>
      </w:r>
      <w:r w:rsidR="00DC0F0A">
        <w:rPr>
          <w:rFonts w:eastAsia="Calibri"/>
          <w:sz w:val="24"/>
          <w:szCs w:val="24"/>
        </w:rPr>
        <w:t xml:space="preserve">būsto išlaidų kompensacijoms – 705 tūkst. eurų, </w:t>
      </w:r>
      <w:r w:rsidRPr="00C656DD">
        <w:rPr>
          <w:rFonts w:eastAsia="Calibri"/>
          <w:sz w:val="24"/>
          <w:szCs w:val="24"/>
        </w:rPr>
        <w:t xml:space="preserve">finansinei paramai šeimynoms ir globėjams – </w:t>
      </w:r>
      <w:r w:rsidR="00DC0F0A">
        <w:rPr>
          <w:rFonts w:eastAsia="Calibri"/>
          <w:sz w:val="24"/>
          <w:szCs w:val="24"/>
        </w:rPr>
        <w:t>71,7</w:t>
      </w:r>
      <w:r w:rsidR="00011283">
        <w:rPr>
          <w:rFonts w:eastAsia="Calibri"/>
          <w:sz w:val="24"/>
          <w:szCs w:val="24"/>
        </w:rPr>
        <w:t xml:space="preserve"> </w:t>
      </w:r>
      <w:r w:rsidRPr="00C656DD">
        <w:rPr>
          <w:rFonts w:eastAsia="Calibri"/>
          <w:sz w:val="24"/>
          <w:szCs w:val="24"/>
        </w:rPr>
        <w:t>tūkst. eurų,</w:t>
      </w:r>
      <w:r w:rsidR="00DC0F0A">
        <w:rPr>
          <w:rFonts w:eastAsia="Calibri"/>
          <w:sz w:val="24"/>
          <w:szCs w:val="24"/>
        </w:rPr>
        <w:t xml:space="preserve"> vaikų globos išlaidoms kitų savivaldybių globos įstaigose apmokėti – 70 tūkst. eurų,</w:t>
      </w:r>
      <w:r w:rsidRPr="00C656DD">
        <w:rPr>
          <w:rFonts w:eastAsia="Calibri"/>
          <w:sz w:val="24"/>
          <w:szCs w:val="24"/>
        </w:rPr>
        <w:t xml:space="preserve"> vienkartinėms išmokoms ir išmokai gimus vaikui –</w:t>
      </w:r>
      <w:r w:rsidR="00011283">
        <w:rPr>
          <w:rFonts w:eastAsia="Calibri"/>
          <w:sz w:val="24"/>
          <w:szCs w:val="24"/>
        </w:rPr>
        <w:t xml:space="preserve"> </w:t>
      </w:r>
      <w:r w:rsidR="00DC0F0A">
        <w:rPr>
          <w:rFonts w:eastAsia="Calibri"/>
          <w:sz w:val="24"/>
          <w:szCs w:val="24"/>
        </w:rPr>
        <w:t>60</w:t>
      </w:r>
      <w:r w:rsidR="00011283">
        <w:rPr>
          <w:rFonts w:eastAsia="Calibri"/>
          <w:sz w:val="24"/>
          <w:szCs w:val="24"/>
        </w:rPr>
        <w:t xml:space="preserve"> </w:t>
      </w:r>
      <w:r w:rsidRPr="00C656DD">
        <w:rPr>
          <w:rFonts w:eastAsia="Calibri"/>
          <w:sz w:val="24"/>
          <w:szCs w:val="24"/>
        </w:rPr>
        <w:t>tūkst. eurų, socialinėms paslaugoms socialiai pažeidžiamiems asmenims ir neįgaliųjų organizacijoms –</w:t>
      </w:r>
      <w:r w:rsidR="00011283">
        <w:rPr>
          <w:rFonts w:eastAsia="Calibri"/>
          <w:sz w:val="24"/>
          <w:szCs w:val="24"/>
        </w:rPr>
        <w:t xml:space="preserve"> 9</w:t>
      </w:r>
      <w:r w:rsidRPr="00C656DD">
        <w:rPr>
          <w:rFonts w:eastAsia="Calibri"/>
          <w:sz w:val="24"/>
          <w:szCs w:val="24"/>
        </w:rPr>
        <w:t xml:space="preserve"> tūkst. eurų</w:t>
      </w:r>
      <w:r w:rsidR="00EA3302">
        <w:rPr>
          <w:rFonts w:eastAsia="Calibri"/>
          <w:sz w:val="24"/>
          <w:szCs w:val="24"/>
        </w:rPr>
        <w:t xml:space="preserve">, žmonių su negalia reabilitacijos priemonėms (būsto pritaikymas, projektų dalinis finansavimas) – </w:t>
      </w:r>
      <w:r w:rsidR="00011283">
        <w:rPr>
          <w:rFonts w:eastAsia="Calibri"/>
          <w:sz w:val="24"/>
          <w:szCs w:val="24"/>
        </w:rPr>
        <w:t xml:space="preserve">21 </w:t>
      </w:r>
      <w:r w:rsidR="00EA3302">
        <w:rPr>
          <w:rFonts w:eastAsia="Calibri"/>
          <w:sz w:val="24"/>
          <w:szCs w:val="24"/>
        </w:rPr>
        <w:t xml:space="preserve">tūkst. eurų. </w:t>
      </w:r>
      <w:r w:rsidR="0045414C">
        <w:rPr>
          <w:rFonts w:eastAsia="Calibri"/>
          <w:sz w:val="24"/>
          <w:szCs w:val="24"/>
        </w:rPr>
        <w:t>Palyginti su 202</w:t>
      </w:r>
      <w:r w:rsidR="00DC0F0A">
        <w:rPr>
          <w:rFonts w:eastAsia="Calibri"/>
          <w:sz w:val="24"/>
          <w:szCs w:val="24"/>
        </w:rPr>
        <w:t>2</w:t>
      </w:r>
      <w:r w:rsidR="0045414C">
        <w:rPr>
          <w:rFonts w:eastAsia="Calibri"/>
          <w:sz w:val="24"/>
          <w:szCs w:val="24"/>
        </w:rPr>
        <w:t xml:space="preserve"> m. pradžios poreikiu </w:t>
      </w:r>
      <w:r w:rsidR="00C23DC9">
        <w:rPr>
          <w:rFonts w:eastAsia="Calibri"/>
          <w:sz w:val="24"/>
          <w:szCs w:val="24"/>
        </w:rPr>
        <w:t xml:space="preserve">šioms priemonėms </w:t>
      </w:r>
      <w:r w:rsidR="0045414C">
        <w:rPr>
          <w:rFonts w:eastAsia="Calibri"/>
          <w:sz w:val="24"/>
          <w:szCs w:val="24"/>
        </w:rPr>
        <w:t xml:space="preserve">skiriamos lėšos didėja – </w:t>
      </w:r>
      <w:r w:rsidR="00DC0F0A">
        <w:rPr>
          <w:rFonts w:eastAsia="Calibri"/>
          <w:sz w:val="24"/>
          <w:szCs w:val="24"/>
        </w:rPr>
        <w:t>577,1</w:t>
      </w:r>
      <w:r w:rsidR="00C23DC9">
        <w:rPr>
          <w:rFonts w:eastAsia="Calibri"/>
          <w:sz w:val="24"/>
          <w:szCs w:val="24"/>
        </w:rPr>
        <w:t xml:space="preserve"> tūkst. eurų, iš jų daugiausiai didėja poreikis</w:t>
      </w:r>
      <w:r w:rsidR="00DC0F0A">
        <w:rPr>
          <w:rFonts w:eastAsia="Calibri"/>
          <w:sz w:val="24"/>
          <w:szCs w:val="24"/>
        </w:rPr>
        <w:t xml:space="preserve"> būsto išlaidų kompensacijoms – 455 tūkst. eurų,</w:t>
      </w:r>
      <w:r w:rsidR="00C23DC9">
        <w:rPr>
          <w:rFonts w:eastAsia="Calibri"/>
          <w:sz w:val="24"/>
          <w:szCs w:val="24"/>
        </w:rPr>
        <w:t xml:space="preserve"> socialinėms pašalpoms mokėti – </w:t>
      </w:r>
      <w:r w:rsidR="00DC0F0A">
        <w:rPr>
          <w:rFonts w:eastAsia="Calibri"/>
          <w:sz w:val="24"/>
          <w:szCs w:val="24"/>
        </w:rPr>
        <w:t>42</w:t>
      </w:r>
      <w:r w:rsidR="00C23DC9">
        <w:rPr>
          <w:rFonts w:eastAsia="Calibri"/>
          <w:sz w:val="24"/>
          <w:szCs w:val="24"/>
        </w:rPr>
        <w:t xml:space="preserve"> tūkst. eurų</w:t>
      </w:r>
      <w:r w:rsidR="00B47127">
        <w:rPr>
          <w:rFonts w:eastAsia="Calibri"/>
          <w:sz w:val="24"/>
          <w:szCs w:val="24"/>
        </w:rPr>
        <w:t>,</w:t>
      </w:r>
      <w:r w:rsidR="00C23DC9">
        <w:rPr>
          <w:rFonts w:eastAsia="Calibri"/>
          <w:sz w:val="24"/>
          <w:szCs w:val="24"/>
        </w:rPr>
        <w:t xml:space="preserve"> vienkartinėms išmokoms – </w:t>
      </w:r>
      <w:r w:rsidR="00DC0F0A">
        <w:rPr>
          <w:rFonts w:eastAsia="Calibri"/>
          <w:sz w:val="24"/>
          <w:szCs w:val="24"/>
        </w:rPr>
        <w:t>9</w:t>
      </w:r>
      <w:r w:rsidR="00C23DC9">
        <w:rPr>
          <w:rFonts w:eastAsia="Calibri"/>
          <w:sz w:val="24"/>
          <w:szCs w:val="24"/>
        </w:rPr>
        <w:t xml:space="preserve"> tūkst. eurų</w:t>
      </w:r>
      <w:r w:rsidR="00DC0F0A">
        <w:rPr>
          <w:rFonts w:eastAsia="Calibri"/>
          <w:sz w:val="24"/>
          <w:szCs w:val="24"/>
        </w:rPr>
        <w:t>, vaikų globos išlaidoms kitų savivaldybių globos įstaigose apmokėt</w:t>
      </w:r>
      <w:r w:rsidR="00851774">
        <w:rPr>
          <w:rFonts w:eastAsia="Calibri"/>
          <w:sz w:val="24"/>
          <w:szCs w:val="24"/>
        </w:rPr>
        <w:t>i – 54 tūkst. eurų.</w:t>
      </w:r>
      <w:r w:rsidR="00DC0F0A">
        <w:rPr>
          <w:rFonts w:eastAsia="Calibri"/>
          <w:sz w:val="24"/>
          <w:szCs w:val="24"/>
        </w:rPr>
        <w:t xml:space="preserve"> </w:t>
      </w:r>
      <w:r w:rsidR="000D2F0A">
        <w:rPr>
          <w:rFonts w:eastAsia="Calibri"/>
          <w:sz w:val="24"/>
          <w:szCs w:val="24"/>
        </w:rPr>
        <w:t xml:space="preserve"> </w:t>
      </w:r>
    </w:p>
    <w:p w14:paraId="419D9B78" w14:textId="0673B809" w:rsidR="00C656DD" w:rsidRPr="00C656DD" w:rsidRDefault="00C23DC9" w:rsidP="00C656DD">
      <w:pPr>
        <w:tabs>
          <w:tab w:val="left" w:pos="993"/>
        </w:tabs>
        <w:spacing w:line="360" w:lineRule="auto"/>
        <w:ind w:firstLine="993"/>
        <w:rPr>
          <w:rFonts w:eastAsia="Calibri"/>
          <w:sz w:val="24"/>
          <w:szCs w:val="24"/>
        </w:rPr>
      </w:pPr>
      <w:r>
        <w:rPr>
          <w:rFonts w:eastAsia="Calibri"/>
          <w:sz w:val="24"/>
          <w:szCs w:val="24"/>
        </w:rPr>
        <w:t xml:space="preserve">Programos projekte </w:t>
      </w:r>
      <w:r w:rsidR="00C656DD" w:rsidRPr="00C656DD">
        <w:rPr>
          <w:rFonts w:eastAsia="Calibri"/>
          <w:sz w:val="24"/>
          <w:szCs w:val="24"/>
        </w:rPr>
        <w:t xml:space="preserve">numatomos lėšos, skirtos lengvatiniam </w:t>
      </w:r>
      <w:r w:rsidR="00424FF2">
        <w:rPr>
          <w:rFonts w:eastAsia="Calibri"/>
          <w:sz w:val="24"/>
          <w:szCs w:val="24"/>
        </w:rPr>
        <w:t>mokinių</w:t>
      </w:r>
      <w:r w:rsidR="00C656DD" w:rsidRPr="00C656DD">
        <w:rPr>
          <w:rFonts w:eastAsia="Calibri"/>
          <w:sz w:val="24"/>
          <w:szCs w:val="24"/>
        </w:rPr>
        <w:t xml:space="preserve"> </w:t>
      </w:r>
      <w:r w:rsidR="002C46AD">
        <w:rPr>
          <w:rFonts w:eastAsia="Calibri"/>
          <w:sz w:val="24"/>
          <w:szCs w:val="24"/>
        </w:rPr>
        <w:t>ir</w:t>
      </w:r>
      <w:r w:rsidR="00C656DD" w:rsidRPr="00C656DD">
        <w:rPr>
          <w:rFonts w:eastAsia="Calibri"/>
          <w:sz w:val="24"/>
          <w:szCs w:val="24"/>
        </w:rPr>
        <w:t xml:space="preserve"> kitų keleivių vežimo išlaidoms kompensuoti – </w:t>
      </w:r>
      <w:r w:rsidR="00851774">
        <w:rPr>
          <w:rFonts w:eastAsia="Calibri"/>
          <w:sz w:val="24"/>
          <w:szCs w:val="24"/>
        </w:rPr>
        <w:t>250</w:t>
      </w:r>
      <w:r w:rsidR="00EA3302">
        <w:rPr>
          <w:rFonts w:eastAsia="Calibri"/>
          <w:sz w:val="24"/>
          <w:szCs w:val="24"/>
        </w:rPr>
        <w:t xml:space="preserve"> </w:t>
      </w:r>
      <w:r w:rsidR="00C656DD" w:rsidRPr="00C656DD">
        <w:rPr>
          <w:rFonts w:eastAsia="Calibri"/>
          <w:sz w:val="24"/>
          <w:szCs w:val="24"/>
        </w:rPr>
        <w:t>tūkst. eurų</w:t>
      </w:r>
      <w:r w:rsidR="00EA3302">
        <w:rPr>
          <w:rFonts w:eastAsia="Calibri"/>
          <w:sz w:val="24"/>
          <w:szCs w:val="24"/>
        </w:rPr>
        <w:t xml:space="preserve">, vaikų dienos socialinei priežiūrai – </w:t>
      </w:r>
      <w:r w:rsidR="00851774">
        <w:rPr>
          <w:rFonts w:eastAsia="Calibri"/>
          <w:sz w:val="24"/>
          <w:szCs w:val="24"/>
        </w:rPr>
        <w:t>177</w:t>
      </w:r>
      <w:r w:rsidR="00EA3302">
        <w:rPr>
          <w:rFonts w:eastAsia="Calibri"/>
          <w:sz w:val="24"/>
          <w:szCs w:val="24"/>
        </w:rPr>
        <w:t xml:space="preserve"> tūkst. eurų</w:t>
      </w:r>
      <w:r w:rsidR="00076E4D">
        <w:rPr>
          <w:rFonts w:eastAsia="Calibri"/>
          <w:sz w:val="24"/>
          <w:szCs w:val="24"/>
        </w:rPr>
        <w:t>, iš j</w:t>
      </w:r>
      <w:r w:rsidR="00811AE7">
        <w:rPr>
          <w:rFonts w:eastAsia="Calibri"/>
          <w:sz w:val="24"/>
          <w:szCs w:val="24"/>
        </w:rPr>
        <w:t xml:space="preserve">ų 54 tūkst. eurų </w:t>
      </w:r>
      <w:r w:rsidR="00076E4D">
        <w:rPr>
          <w:rFonts w:eastAsia="Calibri"/>
          <w:sz w:val="24"/>
          <w:szCs w:val="24"/>
        </w:rPr>
        <w:t>iš savarankiškųjų biudžeto pajamų</w:t>
      </w:r>
      <w:r w:rsidR="00811AE7">
        <w:rPr>
          <w:rFonts w:eastAsia="Calibri"/>
          <w:sz w:val="24"/>
          <w:szCs w:val="24"/>
        </w:rPr>
        <w:t>.</w:t>
      </w:r>
    </w:p>
    <w:p w14:paraId="59258505" w14:textId="53F3235F" w:rsidR="00132E60" w:rsidRPr="002C46AD" w:rsidRDefault="00C656DD" w:rsidP="00920220">
      <w:pPr>
        <w:tabs>
          <w:tab w:val="left" w:pos="993"/>
        </w:tabs>
        <w:spacing w:line="360" w:lineRule="auto"/>
        <w:ind w:firstLine="993"/>
        <w:rPr>
          <w:sz w:val="24"/>
          <w:szCs w:val="24"/>
        </w:rPr>
      </w:pPr>
      <w:r w:rsidRPr="00C656DD">
        <w:rPr>
          <w:b/>
          <w:sz w:val="24"/>
          <w:szCs w:val="24"/>
        </w:rPr>
        <w:lastRenderedPageBreak/>
        <w:t xml:space="preserve">Savivaldybės valdymo ir pagrindinių funkcijų vykdymo programai </w:t>
      </w:r>
      <w:r w:rsidRPr="00C656DD">
        <w:rPr>
          <w:sz w:val="24"/>
          <w:szCs w:val="24"/>
        </w:rPr>
        <w:t xml:space="preserve">– </w:t>
      </w:r>
      <w:r w:rsidR="00851774">
        <w:rPr>
          <w:sz w:val="24"/>
          <w:szCs w:val="24"/>
        </w:rPr>
        <w:t>5218,3</w:t>
      </w:r>
      <w:r w:rsidRPr="00C656DD">
        <w:rPr>
          <w:sz w:val="24"/>
          <w:szCs w:val="24"/>
        </w:rPr>
        <w:t xml:space="preserve"> tūkst. eurų, iš jų darbo užmokesčiui – </w:t>
      </w:r>
      <w:r w:rsidR="00851774">
        <w:rPr>
          <w:sz w:val="24"/>
          <w:szCs w:val="24"/>
        </w:rPr>
        <w:t>3347,3</w:t>
      </w:r>
      <w:r w:rsidRPr="00C656DD">
        <w:rPr>
          <w:sz w:val="24"/>
          <w:szCs w:val="24"/>
        </w:rPr>
        <w:t xml:space="preserve"> tūkst. eurų, </w:t>
      </w:r>
      <w:r w:rsidR="00163378">
        <w:rPr>
          <w:sz w:val="24"/>
          <w:szCs w:val="24"/>
        </w:rPr>
        <w:t>tu</w:t>
      </w:r>
      <w:r w:rsidRPr="00C656DD">
        <w:rPr>
          <w:sz w:val="24"/>
          <w:szCs w:val="24"/>
        </w:rPr>
        <w:t xml:space="preserve">rtui įsigyti – </w:t>
      </w:r>
      <w:r w:rsidR="00851774">
        <w:rPr>
          <w:sz w:val="24"/>
          <w:szCs w:val="24"/>
        </w:rPr>
        <w:t>811,5</w:t>
      </w:r>
      <w:r w:rsidRPr="00C656DD">
        <w:rPr>
          <w:sz w:val="24"/>
          <w:szCs w:val="24"/>
        </w:rPr>
        <w:t xml:space="preserve"> tūkst. eurų, kitoms išlaidoms – </w:t>
      </w:r>
      <w:r w:rsidR="00851774">
        <w:rPr>
          <w:sz w:val="24"/>
          <w:szCs w:val="24"/>
        </w:rPr>
        <w:t>1059,5</w:t>
      </w:r>
      <w:r w:rsidRPr="00C656DD">
        <w:rPr>
          <w:sz w:val="24"/>
          <w:szCs w:val="24"/>
        </w:rPr>
        <w:t xml:space="preserve"> tūkst. eurų. Šiai programai vykdyti iš valstybės biudžeto skiriama </w:t>
      </w:r>
      <w:r w:rsidR="00163378">
        <w:rPr>
          <w:sz w:val="24"/>
          <w:szCs w:val="24"/>
        </w:rPr>
        <w:t>122</w:t>
      </w:r>
      <w:r w:rsidR="00851774">
        <w:rPr>
          <w:sz w:val="24"/>
          <w:szCs w:val="24"/>
        </w:rPr>
        <w:t>6</w:t>
      </w:r>
      <w:r w:rsidR="00163378">
        <w:rPr>
          <w:sz w:val="24"/>
          <w:szCs w:val="24"/>
        </w:rPr>
        <w:t>,</w:t>
      </w:r>
      <w:r w:rsidR="00851774">
        <w:rPr>
          <w:sz w:val="24"/>
          <w:szCs w:val="24"/>
        </w:rPr>
        <w:t>8</w:t>
      </w:r>
      <w:r w:rsidRPr="00C656DD">
        <w:rPr>
          <w:sz w:val="24"/>
          <w:szCs w:val="24"/>
        </w:rPr>
        <w:t xml:space="preserve"> tūkst. eurų valstybės biudžeto dotacija, iš jų priešgaisrinės saugos funkcijai vykdyti – </w:t>
      </w:r>
      <w:r w:rsidR="00851774">
        <w:rPr>
          <w:sz w:val="24"/>
          <w:szCs w:val="24"/>
        </w:rPr>
        <w:t>837,8</w:t>
      </w:r>
      <w:r w:rsidR="00163378">
        <w:rPr>
          <w:sz w:val="24"/>
          <w:szCs w:val="24"/>
        </w:rPr>
        <w:t xml:space="preserve"> </w:t>
      </w:r>
      <w:r w:rsidRPr="00C656DD">
        <w:rPr>
          <w:sz w:val="24"/>
          <w:szCs w:val="24"/>
        </w:rPr>
        <w:t xml:space="preserve">tūkst. eurų, žemės ūkio funkcijai atlikti – </w:t>
      </w:r>
      <w:r w:rsidR="00851774">
        <w:rPr>
          <w:sz w:val="24"/>
          <w:szCs w:val="24"/>
        </w:rPr>
        <w:t>192,3</w:t>
      </w:r>
      <w:r w:rsidRPr="00C656DD">
        <w:rPr>
          <w:sz w:val="24"/>
          <w:szCs w:val="24"/>
        </w:rPr>
        <w:t xml:space="preserve"> tūkst. eurų, Savivaldybės patvirtintai užimtumo didinimo programai įgyvendinti – </w:t>
      </w:r>
      <w:r w:rsidR="00851774">
        <w:rPr>
          <w:sz w:val="24"/>
          <w:szCs w:val="24"/>
        </w:rPr>
        <w:t>60,2</w:t>
      </w:r>
      <w:r w:rsidRPr="00C656DD">
        <w:rPr>
          <w:sz w:val="24"/>
          <w:szCs w:val="24"/>
        </w:rPr>
        <w:t xml:space="preserve"> tūkst. eurų. </w:t>
      </w:r>
      <w:r w:rsidR="00F66B46">
        <w:rPr>
          <w:sz w:val="24"/>
          <w:szCs w:val="24"/>
        </w:rPr>
        <w:t xml:space="preserve">Iš turtui įsigyti planuojamų panaudoti asignavimų </w:t>
      </w:r>
      <w:r w:rsidR="00851774">
        <w:rPr>
          <w:sz w:val="24"/>
          <w:szCs w:val="24"/>
        </w:rPr>
        <w:t>738,5</w:t>
      </w:r>
      <w:r w:rsidR="00F66B46">
        <w:rPr>
          <w:sz w:val="24"/>
          <w:szCs w:val="24"/>
        </w:rPr>
        <w:t xml:space="preserve"> tūkst. eurų skiriami ilgalaikėms paskolos grąžinti, </w:t>
      </w:r>
      <w:r w:rsidR="00851774">
        <w:rPr>
          <w:sz w:val="24"/>
          <w:szCs w:val="24"/>
        </w:rPr>
        <w:t>15</w:t>
      </w:r>
      <w:r w:rsidR="00F66B46">
        <w:rPr>
          <w:sz w:val="24"/>
          <w:szCs w:val="24"/>
        </w:rPr>
        <w:t xml:space="preserve"> tūkst. eurų – dalyvaujamojo biudžeto priemonėms finansuoti, </w:t>
      </w:r>
      <w:r w:rsidR="00851774">
        <w:rPr>
          <w:sz w:val="24"/>
          <w:szCs w:val="24"/>
        </w:rPr>
        <w:t>15</w:t>
      </w:r>
      <w:r w:rsidR="00F66B46">
        <w:rPr>
          <w:sz w:val="24"/>
          <w:szCs w:val="24"/>
        </w:rPr>
        <w:t xml:space="preserve"> tūkst. eurų – </w:t>
      </w:r>
      <w:r w:rsidR="00851774">
        <w:rPr>
          <w:sz w:val="24"/>
          <w:szCs w:val="24"/>
        </w:rPr>
        <w:t>pagalbos priemonėms užsienio šalims užtikrinti</w:t>
      </w:r>
      <w:r w:rsidR="002E145F">
        <w:rPr>
          <w:sz w:val="24"/>
          <w:szCs w:val="24"/>
        </w:rPr>
        <w:t xml:space="preserve">, </w:t>
      </w:r>
      <w:r w:rsidR="00851774">
        <w:rPr>
          <w:sz w:val="24"/>
          <w:szCs w:val="24"/>
        </w:rPr>
        <w:t xml:space="preserve">45 tūkst. eurų – </w:t>
      </w:r>
      <w:r w:rsidR="00851774" w:rsidRPr="002C46AD">
        <w:rPr>
          <w:sz w:val="24"/>
          <w:szCs w:val="24"/>
        </w:rPr>
        <w:t xml:space="preserve">Savivaldybės administracijos direktoriaus rezervas, kuris nuo 2023 m. gali būti naudojamas ir </w:t>
      </w:r>
      <w:r w:rsidR="007F65EB" w:rsidRPr="002C46AD">
        <w:rPr>
          <w:sz w:val="24"/>
          <w:szCs w:val="24"/>
          <w:lang w:eastAsia="ar-SA"/>
        </w:rPr>
        <w:t>dėl nepaprastosios padėties atsiradusioms išlaidoms iš dalies apmokėti</w:t>
      </w:r>
      <w:r w:rsidR="00F66B46" w:rsidRPr="002C46AD">
        <w:rPr>
          <w:sz w:val="24"/>
          <w:szCs w:val="24"/>
        </w:rPr>
        <w:t xml:space="preserve">. </w:t>
      </w:r>
    </w:p>
    <w:p w14:paraId="42921A52" w14:textId="77777777" w:rsidR="00691D6C" w:rsidRPr="00920220" w:rsidRDefault="00691D6C" w:rsidP="00920220">
      <w:pPr>
        <w:tabs>
          <w:tab w:val="left" w:pos="993"/>
        </w:tabs>
        <w:spacing w:line="360" w:lineRule="auto"/>
        <w:ind w:firstLine="993"/>
        <w:rPr>
          <w:sz w:val="24"/>
          <w:szCs w:val="24"/>
        </w:rPr>
      </w:pPr>
    </w:p>
    <w:p w14:paraId="0A2C4602" w14:textId="21893C4E" w:rsidR="00691D6C" w:rsidRDefault="00E56CA3" w:rsidP="009203FC">
      <w:pPr>
        <w:spacing w:line="360" w:lineRule="auto"/>
        <w:ind w:firstLine="992"/>
        <w:jc w:val="center"/>
        <w:rPr>
          <w:b/>
          <w:sz w:val="24"/>
          <w:szCs w:val="24"/>
        </w:rPr>
      </w:pPr>
      <w:r>
        <w:rPr>
          <w:b/>
          <w:sz w:val="24"/>
          <w:szCs w:val="24"/>
        </w:rPr>
        <w:t>S</w:t>
      </w:r>
      <w:r w:rsidRPr="00E864BF">
        <w:rPr>
          <w:b/>
          <w:sz w:val="24"/>
          <w:szCs w:val="24"/>
        </w:rPr>
        <w:t>avivaldyb</w:t>
      </w:r>
      <w:r>
        <w:rPr>
          <w:b/>
          <w:sz w:val="24"/>
          <w:szCs w:val="24"/>
        </w:rPr>
        <w:t>ės 202</w:t>
      </w:r>
      <w:r w:rsidR="00DD2941">
        <w:rPr>
          <w:b/>
          <w:sz w:val="24"/>
          <w:szCs w:val="24"/>
        </w:rPr>
        <w:t>3</w:t>
      </w:r>
      <w:r>
        <w:rPr>
          <w:b/>
          <w:sz w:val="24"/>
          <w:szCs w:val="24"/>
        </w:rPr>
        <w:t xml:space="preserve"> metų biudžeto išlaidų pagal </w:t>
      </w:r>
      <w:r w:rsidR="0022133E">
        <w:rPr>
          <w:b/>
          <w:sz w:val="24"/>
          <w:szCs w:val="24"/>
        </w:rPr>
        <w:t>programas</w:t>
      </w:r>
      <w:r>
        <w:rPr>
          <w:b/>
          <w:sz w:val="24"/>
          <w:szCs w:val="24"/>
        </w:rPr>
        <w:t xml:space="preserve"> struktūra</w:t>
      </w:r>
    </w:p>
    <w:p w14:paraId="28DB3B34" w14:textId="1F0BECC1" w:rsidR="00933B82" w:rsidRPr="00933B82" w:rsidRDefault="00933B82" w:rsidP="00933B82">
      <w:pPr>
        <w:spacing w:line="360" w:lineRule="auto"/>
        <w:ind w:firstLine="992"/>
        <w:jc w:val="right"/>
        <w:rPr>
          <w:bCs/>
          <w:sz w:val="22"/>
          <w:szCs w:val="22"/>
        </w:rPr>
      </w:pPr>
      <w:r w:rsidRPr="00933B82">
        <w:rPr>
          <w:bCs/>
          <w:sz w:val="22"/>
          <w:szCs w:val="22"/>
        </w:rPr>
        <w:t>(tūkst. eurų)</w:t>
      </w:r>
    </w:p>
    <w:p w14:paraId="63F12379" w14:textId="54A58B87" w:rsidR="003718A8" w:rsidRPr="004D29D2" w:rsidRDefault="00132E60" w:rsidP="00132E60">
      <w:pPr>
        <w:spacing w:line="360" w:lineRule="auto"/>
        <w:ind w:firstLine="0"/>
        <w:rPr>
          <w:sz w:val="24"/>
          <w:szCs w:val="24"/>
        </w:rPr>
      </w:pPr>
      <w:r>
        <w:rPr>
          <w:noProof/>
          <w:lang w:eastAsia="lt-LT"/>
        </w:rPr>
        <w:drawing>
          <wp:inline distT="0" distB="0" distL="0" distR="0" wp14:anchorId="6DE68BA3" wp14:editId="1E548B8B">
            <wp:extent cx="6181725" cy="2964180"/>
            <wp:effectExtent l="0" t="0" r="9525" b="7620"/>
            <wp:docPr id="2" name="Diagrama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E2D847" w14:textId="2067EF76" w:rsidR="00A928A8" w:rsidRDefault="00C40BC8" w:rsidP="009A3B62">
      <w:pPr>
        <w:spacing w:line="360" w:lineRule="auto"/>
        <w:ind w:firstLine="992"/>
        <w:rPr>
          <w:sz w:val="24"/>
          <w:szCs w:val="24"/>
        </w:rPr>
      </w:pPr>
      <w:r>
        <w:rPr>
          <w:sz w:val="24"/>
          <w:szCs w:val="24"/>
        </w:rPr>
        <w:t>Didžiausia 202</w:t>
      </w:r>
      <w:r w:rsidR="00DD2941">
        <w:rPr>
          <w:sz w:val="24"/>
          <w:szCs w:val="24"/>
        </w:rPr>
        <w:t>3</w:t>
      </w:r>
      <w:r>
        <w:rPr>
          <w:sz w:val="24"/>
          <w:szCs w:val="24"/>
        </w:rPr>
        <w:t xml:space="preserve"> metų Savivaldybės biudžeto išlaidų dalis </w:t>
      </w:r>
      <w:r w:rsidR="00E12A0C">
        <w:rPr>
          <w:sz w:val="24"/>
          <w:szCs w:val="24"/>
        </w:rPr>
        <w:t xml:space="preserve">tenka Žinių visuomenės, kultūrinio ir sportinio aktyvumo skatinimo programai – </w:t>
      </w:r>
      <w:r w:rsidR="00DD2941">
        <w:rPr>
          <w:sz w:val="24"/>
          <w:szCs w:val="24"/>
        </w:rPr>
        <w:t>43,3</w:t>
      </w:r>
      <w:r w:rsidR="00E12A0C">
        <w:rPr>
          <w:sz w:val="24"/>
          <w:szCs w:val="24"/>
        </w:rPr>
        <w:t xml:space="preserve"> proc. (202</w:t>
      </w:r>
      <w:r w:rsidR="00DD2941">
        <w:rPr>
          <w:sz w:val="24"/>
          <w:szCs w:val="24"/>
        </w:rPr>
        <w:t>2</w:t>
      </w:r>
      <w:r w:rsidR="00E12A0C">
        <w:rPr>
          <w:sz w:val="24"/>
          <w:szCs w:val="24"/>
        </w:rPr>
        <w:t xml:space="preserve"> m. – </w:t>
      </w:r>
      <w:r w:rsidR="00DD2941">
        <w:rPr>
          <w:sz w:val="24"/>
          <w:szCs w:val="24"/>
        </w:rPr>
        <w:t>42,6</w:t>
      </w:r>
      <w:r w:rsidR="00E12A0C">
        <w:rPr>
          <w:sz w:val="24"/>
          <w:szCs w:val="24"/>
        </w:rPr>
        <w:t xml:space="preserve"> proc.)</w:t>
      </w:r>
      <w:r w:rsidR="005D0205">
        <w:rPr>
          <w:sz w:val="24"/>
          <w:szCs w:val="24"/>
        </w:rPr>
        <w:t>.</w:t>
      </w:r>
      <w:r w:rsidR="00E0063A">
        <w:rPr>
          <w:sz w:val="24"/>
          <w:szCs w:val="24"/>
        </w:rPr>
        <w:t xml:space="preserve"> </w:t>
      </w:r>
      <w:r w:rsidR="005D0205">
        <w:rPr>
          <w:sz w:val="24"/>
          <w:szCs w:val="24"/>
        </w:rPr>
        <w:t xml:space="preserve">Šios programos vykdymui skirtų asignavimų didėjimą įtakoja </w:t>
      </w:r>
      <w:r w:rsidR="00DD2941">
        <w:rPr>
          <w:sz w:val="24"/>
          <w:szCs w:val="24"/>
        </w:rPr>
        <w:t>365,6</w:t>
      </w:r>
      <w:r w:rsidR="005D0205">
        <w:rPr>
          <w:sz w:val="24"/>
          <w:szCs w:val="24"/>
        </w:rPr>
        <w:t xml:space="preserve"> tūkst. eurų didėjanti valstybės biudžeto speciali tikslinė dotacija ugdymo reikmėms finansuoti</w:t>
      </w:r>
      <w:r w:rsidR="00DD2941">
        <w:rPr>
          <w:sz w:val="24"/>
          <w:szCs w:val="24"/>
        </w:rPr>
        <w:t xml:space="preserve"> ir į švietimo ir kultūros ir meno įstaigų biudžetus įskaičiuojamos lėšos, skirtos komunalinių ir transporto išlaidų didėjimui kompensuoti.</w:t>
      </w:r>
      <w:r w:rsidR="00E12A0C">
        <w:rPr>
          <w:sz w:val="24"/>
          <w:szCs w:val="24"/>
        </w:rPr>
        <w:t xml:space="preserve"> Socialinės ir sveikatos apsaugos programai</w:t>
      </w:r>
      <w:r w:rsidR="005D0205">
        <w:rPr>
          <w:sz w:val="24"/>
          <w:szCs w:val="24"/>
        </w:rPr>
        <w:t xml:space="preserve"> vykdyti tenka</w:t>
      </w:r>
      <w:r w:rsidR="00E12A0C">
        <w:rPr>
          <w:sz w:val="24"/>
          <w:szCs w:val="24"/>
        </w:rPr>
        <w:t xml:space="preserve"> </w:t>
      </w:r>
      <w:r w:rsidR="00DD2941">
        <w:rPr>
          <w:sz w:val="24"/>
          <w:szCs w:val="24"/>
        </w:rPr>
        <w:t>22,5</w:t>
      </w:r>
      <w:r w:rsidR="00E12A0C">
        <w:rPr>
          <w:sz w:val="24"/>
          <w:szCs w:val="24"/>
        </w:rPr>
        <w:t xml:space="preserve"> proc. (202</w:t>
      </w:r>
      <w:r w:rsidR="00DD2941">
        <w:rPr>
          <w:sz w:val="24"/>
          <w:szCs w:val="24"/>
        </w:rPr>
        <w:t>2</w:t>
      </w:r>
      <w:r w:rsidR="00E12A0C">
        <w:rPr>
          <w:sz w:val="24"/>
          <w:szCs w:val="24"/>
        </w:rPr>
        <w:t xml:space="preserve"> m. – </w:t>
      </w:r>
      <w:r w:rsidR="00DD2941">
        <w:rPr>
          <w:sz w:val="24"/>
          <w:szCs w:val="24"/>
        </w:rPr>
        <w:t>20,7</w:t>
      </w:r>
      <w:r w:rsidR="00E12A0C">
        <w:rPr>
          <w:sz w:val="24"/>
          <w:szCs w:val="24"/>
        </w:rPr>
        <w:t>)</w:t>
      </w:r>
      <w:r w:rsidR="005D0205">
        <w:rPr>
          <w:sz w:val="24"/>
          <w:szCs w:val="24"/>
        </w:rPr>
        <w:t xml:space="preserve"> visų šių metų biudžeto išlaidų dalis</w:t>
      </w:r>
      <w:r w:rsidR="00A928A8">
        <w:rPr>
          <w:sz w:val="24"/>
          <w:szCs w:val="24"/>
        </w:rPr>
        <w:t xml:space="preserve">. </w:t>
      </w:r>
      <w:r w:rsidR="0081661F">
        <w:rPr>
          <w:sz w:val="24"/>
          <w:szCs w:val="24"/>
        </w:rPr>
        <w:t xml:space="preserve">Šiai programai įgyvendinti skiriamų lėšų didėjimą lemia </w:t>
      </w:r>
      <w:r w:rsidR="00DD2941">
        <w:rPr>
          <w:sz w:val="24"/>
          <w:szCs w:val="24"/>
        </w:rPr>
        <w:t>2,8 karto didinamos lėšos būsto</w:t>
      </w:r>
      <w:r w:rsidR="00562F2C">
        <w:rPr>
          <w:sz w:val="24"/>
          <w:szCs w:val="24"/>
        </w:rPr>
        <w:t xml:space="preserve"> išlaikymo</w:t>
      </w:r>
      <w:r w:rsidR="00DD2941">
        <w:rPr>
          <w:sz w:val="24"/>
          <w:szCs w:val="24"/>
        </w:rPr>
        <w:t xml:space="preserve"> išlaidų </w:t>
      </w:r>
      <w:r w:rsidR="00562F2C">
        <w:rPr>
          <w:sz w:val="24"/>
          <w:szCs w:val="24"/>
        </w:rPr>
        <w:t>kompensacijoms mokėti.</w:t>
      </w:r>
    </w:p>
    <w:p w14:paraId="78DFC620" w14:textId="14B6A97C" w:rsidR="00691D6C" w:rsidRDefault="00A928A8" w:rsidP="00D471CD">
      <w:pPr>
        <w:spacing w:line="360" w:lineRule="auto"/>
        <w:ind w:firstLine="992"/>
        <w:rPr>
          <w:sz w:val="24"/>
          <w:szCs w:val="24"/>
        </w:rPr>
      </w:pPr>
      <w:r>
        <w:rPr>
          <w:sz w:val="24"/>
          <w:szCs w:val="24"/>
        </w:rPr>
        <w:t>Savivaldybės valdymo ir pagrindinių funkcijų vykdymo programai skiriama asignavimų suma</w:t>
      </w:r>
      <w:r w:rsidR="008D7964">
        <w:rPr>
          <w:sz w:val="24"/>
          <w:szCs w:val="24"/>
        </w:rPr>
        <w:t xml:space="preserve"> bendroje išlaidų struktūroje sudaro </w:t>
      </w:r>
      <w:r w:rsidR="00562F2C">
        <w:rPr>
          <w:sz w:val="24"/>
          <w:szCs w:val="24"/>
        </w:rPr>
        <w:t>17,9</w:t>
      </w:r>
      <w:r>
        <w:rPr>
          <w:sz w:val="24"/>
          <w:szCs w:val="24"/>
        </w:rPr>
        <w:t xml:space="preserve"> proc. (202</w:t>
      </w:r>
      <w:r w:rsidR="00562F2C">
        <w:rPr>
          <w:sz w:val="24"/>
          <w:szCs w:val="24"/>
        </w:rPr>
        <w:t>2</w:t>
      </w:r>
      <w:r>
        <w:rPr>
          <w:sz w:val="24"/>
          <w:szCs w:val="24"/>
        </w:rPr>
        <w:t xml:space="preserve"> metai</w:t>
      </w:r>
      <w:r w:rsidR="008D7964">
        <w:rPr>
          <w:sz w:val="24"/>
          <w:szCs w:val="24"/>
        </w:rPr>
        <w:t xml:space="preserve">s – </w:t>
      </w:r>
      <w:r w:rsidR="00562F2C">
        <w:rPr>
          <w:sz w:val="24"/>
          <w:szCs w:val="24"/>
        </w:rPr>
        <w:t>16,8</w:t>
      </w:r>
      <w:r w:rsidR="008D7964">
        <w:rPr>
          <w:sz w:val="24"/>
          <w:szCs w:val="24"/>
        </w:rPr>
        <w:t xml:space="preserve"> proc</w:t>
      </w:r>
      <w:r w:rsidR="003716D5">
        <w:rPr>
          <w:sz w:val="24"/>
          <w:szCs w:val="24"/>
        </w:rPr>
        <w:t>.</w:t>
      </w:r>
      <w:r w:rsidR="00B52BC7">
        <w:rPr>
          <w:sz w:val="24"/>
          <w:szCs w:val="24"/>
        </w:rPr>
        <w:t>)</w:t>
      </w:r>
      <w:r w:rsidR="00D471CD">
        <w:rPr>
          <w:sz w:val="24"/>
          <w:szCs w:val="24"/>
        </w:rPr>
        <w:t xml:space="preserve">. </w:t>
      </w:r>
    </w:p>
    <w:p w14:paraId="693BA8B6" w14:textId="64674681" w:rsidR="00691D6C" w:rsidRDefault="008D7964" w:rsidP="009203FC">
      <w:pPr>
        <w:spacing w:line="360" w:lineRule="auto"/>
        <w:ind w:firstLine="992"/>
        <w:jc w:val="center"/>
        <w:rPr>
          <w:b/>
          <w:sz w:val="24"/>
          <w:szCs w:val="24"/>
        </w:rPr>
      </w:pPr>
      <w:r>
        <w:rPr>
          <w:b/>
          <w:sz w:val="24"/>
          <w:szCs w:val="24"/>
        </w:rPr>
        <w:lastRenderedPageBreak/>
        <w:t>S</w:t>
      </w:r>
      <w:r w:rsidRPr="00E864BF">
        <w:rPr>
          <w:b/>
          <w:sz w:val="24"/>
          <w:szCs w:val="24"/>
        </w:rPr>
        <w:t>avivaldyb</w:t>
      </w:r>
      <w:r>
        <w:rPr>
          <w:b/>
          <w:sz w:val="24"/>
          <w:szCs w:val="24"/>
        </w:rPr>
        <w:t>ės 202</w:t>
      </w:r>
      <w:r w:rsidR="00562F2C">
        <w:rPr>
          <w:b/>
          <w:sz w:val="24"/>
          <w:szCs w:val="24"/>
        </w:rPr>
        <w:t>3</w:t>
      </w:r>
      <w:r>
        <w:rPr>
          <w:b/>
          <w:sz w:val="24"/>
          <w:szCs w:val="24"/>
        </w:rPr>
        <w:t xml:space="preserve"> metų biudžeto išlaidų pagal valstybės funkcijas struktūra</w:t>
      </w:r>
    </w:p>
    <w:p w14:paraId="6908AFCF" w14:textId="4140E3AB" w:rsidR="00EF6264" w:rsidRPr="002556D5" w:rsidRDefault="00EF6264" w:rsidP="00EF6264">
      <w:pPr>
        <w:spacing w:line="360" w:lineRule="auto"/>
        <w:ind w:firstLine="992"/>
        <w:jc w:val="right"/>
        <w:rPr>
          <w:bCs/>
          <w:sz w:val="24"/>
          <w:szCs w:val="24"/>
        </w:rPr>
      </w:pPr>
      <w:r w:rsidRPr="002556D5">
        <w:rPr>
          <w:bCs/>
          <w:sz w:val="24"/>
          <w:szCs w:val="24"/>
        </w:rPr>
        <w:t>(proc</w:t>
      </w:r>
      <w:r w:rsidR="002556D5" w:rsidRPr="002556D5">
        <w:rPr>
          <w:bCs/>
          <w:sz w:val="24"/>
          <w:szCs w:val="24"/>
        </w:rPr>
        <w:t>.)</w:t>
      </w:r>
    </w:p>
    <w:p w14:paraId="100CCB33" w14:textId="27BF6261" w:rsidR="004A4CB1" w:rsidRPr="00BE5D46" w:rsidRDefault="003C2277" w:rsidP="003C2277">
      <w:pPr>
        <w:spacing w:line="360" w:lineRule="auto"/>
        <w:ind w:firstLine="0"/>
        <w:jc w:val="left"/>
        <w:rPr>
          <w:sz w:val="24"/>
          <w:szCs w:val="24"/>
        </w:rPr>
      </w:pPr>
      <w:r w:rsidRPr="003C2277">
        <w:rPr>
          <w:noProof/>
          <w:sz w:val="24"/>
          <w:szCs w:val="24"/>
          <w:lang w:eastAsia="lt-LT"/>
        </w:rPr>
        <w:drawing>
          <wp:inline distT="0" distB="0" distL="0" distR="0" wp14:anchorId="742DF103" wp14:editId="0654CF1D">
            <wp:extent cx="6181725" cy="3293745"/>
            <wp:effectExtent l="0" t="0" r="9525" b="1905"/>
            <wp:docPr id="3" name="Diagram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6CCA891-1669-49DA-806F-777347D56B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006E90" w14:textId="5938B85F" w:rsidR="005352B3" w:rsidRDefault="00C7741B" w:rsidP="0029087A">
      <w:pPr>
        <w:spacing w:line="360" w:lineRule="auto"/>
        <w:ind w:firstLine="992"/>
        <w:rPr>
          <w:sz w:val="24"/>
        </w:rPr>
      </w:pPr>
      <w:r>
        <w:rPr>
          <w:sz w:val="24"/>
        </w:rPr>
        <w:t xml:space="preserve">   </w:t>
      </w:r>
      <w:bookmarkStart w:id="2" w:name="_GoBack"/>
      <w:bookmarkEnd w:id="2"/>
      <w:r w:rsidR="005D0205">
        <w:rPr>
          <w:sz w:val="24"/>
        </w:rPr>
        <w:t>Visų 202</w:t>
      </w:r>
      <w:r w:rsidR="00BC35C5">
        <w:rPr>
          <w:sz w:val="24"/>
        </w:rPr>
        <w:t>3</w:t>
      </w:r>
      <w:r w:rsidR="005D0205">
        <w:rPr>
          <w:sz w:val="24"/>
        </w:rPr>
        <w:t xml:space="preserve"> metų Savivaldybės biudžeto išlaidų struktūroje didžiausią dalį sudaro asignavimai</w:t>
      </w:r>
      <w:r w:rsidR="00E0063A">
        <w:rPr>
          <w:sz w:val="24"/>
        </w:rPr>
        <w:t>,</w:t>
      </w:r>
      <w:r w:rsidR="005D0205">
        <w:rPr>
          <w:sz w:val="24"/>
        </w:rPr>
        <w:t xml:space="preserve"> skiriami švietimo funkcijai vykdyti – </w:t>
      </w:r>
      <w:r w:rsidR="00BC35C5">
        <w:rPr>
          <w:sz w:val="24"/>
        </w:rPr>
        <w:t>38,4</w:t>
      </w:r>
      <w:r w:rsidR="005D0205">
        <w:rPr>
          <w:sz w:val="24"/>
        </w:rPr>
        <w:t xml:space="preserve"> proc.</w:t>
      </w:r>
      <w:r w:rsidR="00704DF5">
        <w:rPr>
          <w:sz w:val="24"/>
        </w:rPr>
        <w:t>, socialinės apsaugo</w:t>
      </w:r>
      <w:r w:rsidR="00287407">
        <w:rPr>
          <w:sz w:val="24"/>
        </w:rPr>
        <w:t xml:space="preserve">s funkcijai įgyvendinti – </w:t>
      </w:r>
      <w:r w:rsidR="00BC35C5">
        <w:rPr>
          <w:sz w:val="24"/>
        </w:rPr>
        <w:t>20,8</w:t>
      </w:r>
      <w:r w:rsidR="00287407">
        <w:rPr>
          <w:sz w:val="24"/>
        </w:rPr>
        <w:t xml:space="preserve"> </w:t>
      </w:r>
      <w:r w:rsidR="00704DF5">
        <w:rPr>
          <w:sz w:val="24"/>
        </w:rPr>
        <w:t xml:space="preserve">proc., poilsio, kultūros ir religijų finansavimo funkcijai – </w:t>
      </w:r>
      <w:r w:rsidR="00BC35C5">
        <w:rPr>
          <w:sz w:val="24"/>
        </w:rPr>
        <w:t>11,2</w:t>
      </w:r>
      <w:r w:rsidR="00287407">
        <w:rPr>
          <w:sz w:val="24"/>
        </w:rPr>
        <w:t xml:space="preserve"> p</w:t>
      </w:r>
      <w:r w:rsidR="00704DF5">
        <w:rPr>
          <w:sz w:val="24"/>
        </w:rPr>
        <w:t xml:space="preserve">roc. </w:t>
      </w:r>
    </w:p>
    <w:p w14:paraId="47CB1F23" w14:textId="2A72A9CC" w:rsidR="00934173" w:rsidRPr="00920220" w:rsidRDefault="00C47A86" w:rsidP="00D00D7D">
      <w:pPr>
        <w:pStyle w:val="Antrats"/>
        <w:tabs>
          <w:tab w:val="clear" w:pos="4153"/>
          <w:tab w:val="left" w:pos="6096"/>
          <w:tab w:val="center" w:pos="7655"/>
        </w:tabs>
        <w:spacing w:line="360" w:lineRule="auto"/>
        <w:ind w:firstLine="1247"/>
        <w:rPr>
          <w:color w:val="000000"/>
          <w:sz w:val="24"/>
          <w:szCs w:val="24"/>
          <w:shd w:val="clear" w:color="auto" w:fill="FFFFFF"/>
        </w:rPr>
      </w:pPr>
      <w:r w:rsidRPr="006C663E">
        <w:rPr>
          <w:b/>
          <w:bCs/>
          <w:color w:val="000000"/>
          <w:sz w:val="24"/>
          <w:szCs w:val="24"/>
          <w:shd w:val="clear" w:color="auto" w:fill="FFFFFF"/>
        </w:rPr>
        <w:t xml:space="preserve">Lėšų poreikis ir šaltiniai: </w:t>
      </w:r>
      <w:r w:rsidR="00197F94" w:rsidRPr="00920220">
        <w:rPr>
          <w:color w:val="000000"/>
          <w:sz w:val="24"/>
          <w:szCs w:val="24"/>
          <w:shd w:val="clear" w:color="auto" w:fill="FFFFFF"/>
        </w:rPr>
        <w:t xml:space="preserve">Finansavimo šaltiniai – </w:t>
      </w:r>
      <w:r w:rsidR="00E0063A">
        <w:rPr>
          <w:color w:val="000000"/>
          <w:sz w:val="24"/>
          <w:szCs w:val="24"/>
          <w:shd w:val="clear" w:color="auto" w:fill="FFFFFF"/>
        </w:rPr>
        <w:t>S</w:t>
      </w:r>
      <w:r w:rsidR="00197F94" w:rsidRPr="00920220">
        <w:rPr>
          <w:color w:val="000000"/>
          <w:sz w:val="24"/>
          <w:szCs w:val="24"/>
          <w:shd w:val="clear" w:color="auto" w:fill="FFFFFF"/>
        </w:rPr>
        <w:t xml:space="preserve">avivaldybės biudžeto savarankiškosios pajamos, </w:t>
      </w:r>
      <w:r w:rsidR="00920220" w:rsidRPr="00920220">
        <w:rPr>
          <w:color w:val="000000"/>
          <w:sz w:val="24"/>
          <w:szCs w:val="24"/>
          <w:shd w:val="clear" w:color="auto" w:fill="FFFFFF"/>
        </w:rPr>
        <w:t>valstybės biudžeto specialios ir kitos tikslinės dotacijos, biudžetinių įstaigų pajamų įmokos</w:t>
      </w:r>
      <w:r w:rsidR="00E0063A">
        <w:rPr>
          <w:color w:val="000000"/>
          <w:sz w:val="24"/>
          <w:szCs w:val="24"/>
          <w:shd w:val="clear" w:color="auto" w:fill="FFFFFF"/>
        </w:rPr>
        <w:t>.</w:t>
      </w:r>
    </w:p>
    <w:p w14:paraId="37836728" w14:textId="3B5F18DF" w:rsidR="00934173" w:rsidRPr="006C663E" w:rsidRDefault="00C47A86" w:rsidP="00D00D7D">
      <w:pPr>
        <w:pStyle w:val="Antrats"/>
        <w:tabs>
          <w:tab w:val="clear" w:pos="4153"/>
          <w:tab w:val="left" w:pos="6096"/>
          <w:tab w:val="center" w:pos="7655"/>
        </w:tabs>
        <w:spacing w:line="360" w:lineRule="auto"/>
        <w:ind w:firstLine="1247"/>
        <w:rPr>
          <w:color w:val="000000"/>
          <w:sz w:val="24"/>
          <w:szCs w:val="24"/>
          <w:shd w:val="clear" w:color="auto" w:fill="FFFFFF"/>
        </w:rPr>
      </w:pPr>
      <w:r w:rsidRPr="006C663E">
        <w:rPr>
          <w:b/>
          <w:bCs/>
          <w:color w:val="000000"/>
          <w:sz w:val="24"/>
          <w:szCs w:val="24"/>
          <w:shd w:val="clear" w:color="auto" w:fill="FFFFFF"/>
        </w:rPr>
        <w:t>Kiti sprendimui priimti reikalingi pagrindimai, skaičiavimai ar paaiškinimai:</w:t>
      </w:r>
      <w:r w:rsidR="00934173" w:rsidRPr="006C663E">
        <w:rPr>
          <w:b/>
          <w:bCs/>
          <w:color w:val="000000"/>
          <w:sz w:val="24"/>
          <w:szCs w:val="24"/>
          <w:shd w:val="clear" w:color="auto" w:fill="FFFFFF"/>
        </w:rPr>
        <w:t xml:space="preserve"> </w:t>
      </w:r>
      <w:r w:rsidR="00BC35C5" w:rsidRPr="00BC35C5">
        <w:rPr>
          <w:color w:val="000000"/>
          <w:sz w:val="24"/>
          <w:szCs w:val="24"/>
          <w:shd w:val="clear" w:color="auto" w:fill="FFFFFF"/>
        </w:rPr>
        <w:t>Nėra.</w:t>
      </w:r>
    </w:p>
    <w:p w14:paraId="6C61B166" w14:textId="3D3FD0F4" w:rsidR="00934173" w:rsidRPr="006C663E" w:rsidRDefault="00C47A86" w:rsidP="00D00D7D">
      <w:pPr>
        <w:pStyle w:val="Antrats"/>
        <w:tabs>
          <w:tab w:val="clear" w:pos="4153"/>
          <w:tab w:val="left" w:pos="6096"/>
          <w:tab w:val="center" w:pos="7655"/>
        </w:tabs>
        <w:spacing w:line="360" w:lineRule="auto"/>
        <w:ind w:firstLine="1247"/>
        <w:rPr>
          <w:b/>
          <w:sz w:val="24"/>
          <w:szCs w:val="24"/>
          <w:lang w:eastAsia="lt-LT"/>
        </w:rPr>
      </w:pPr>
      <w:r w:rsidRPr="006C663E">
        <w:rPr>
          <w:b/>
          <w:sz w:val="24"/>
          <w:szCs w:val="24"/>
          <w:lang w:eastAsia="lt-LT"/>
        </w:rPr>
        <w:t xml:space="preserve">Lyginamasis variantas: </w:t>
      </w:r>
      <w:r w:rsidR="00BC35C5" w:rsidRPr="00BC35C5">
        <w:rPr>
          <w:bCs/>
          <w:sz w:val="24"/>
          <w:szCs w:val="24"/>
          <w:lang w:eastAsia="lt-LT"/>
        </w:rPr>
        <w:t>Neteikiamas.</w:t>
      </w:r>
    </w:p>
    <w:p w14:paraId="284AA72C" w14:textId="791E9D76" w:rsidR="00691D6C" w:rsidRPr="00A01565" w:rsidRDefault="005B0623" w:rsidP="00A01565">
      <w:pPr>
        <w:pStyle w:val="Antrats"/>
        <w:tabs>
          <w:tab w:val="clear" w:pos="4153"/>
          <w:tab w:val="left" w:pos="6096"/>
          <w:tab w:val="center" w:pos="7655"/>
        </w:tabs>
        <w:spacing w:line="360" w:lineRule="auto"/>
        <w:ind w:firstLine="1247"/>
        <w:rPr>
          <w:b/>
          <w:sz w:val="24"/>
          <w:szCs w:val="24"/>
          <w:lang w:eastAsia="lt-LT"/>
        </w:rPr>
      </w:pPr>
      <w:r w:rsidRPr="006C663E">
        <w:rPr>
          <w:b/>
          <w:bCs/>
          <w:iCs/>
          <w:sz w:val="24"/>
          <w:szCs w:val="24"/>
        </w:rPr>
        <w:t>Sprendimo projekto antikorupcinio vertinimo pažyma</w:t>
      </w:r>
      <w:r w:rsidRPr="006C663E">
        <w:rPr>
          <w:b/>
          <w:bCs/>
          <w:iCs/>
          <w:sz w:val="24"/>
          <w:szCs w:val="24"/>
          <w:vertAlign w:val="superscript"/>
        </w:rPr>
        <w:t>*</w:t>
      </w:r>
      <w:r w:rsidR="009828ED">
        <w:rPr>
          <w:b/>
          <w:bCs/>
          <w:iCs/>
          <w:sz w:val="24"/>
          <w:szCs w:val="24"/>
        </w:rPr>
        <w:t xml:space="preserve">: </w:t>
      </w:r>
      <w:r w:rsidR="00BC35C5" w:rsidRPr="00BC35C5">
        <w:rPr>
          <w:bCs/>
          <w:sz w:val="24"/>
          <w:szCs w:val="24"/>
          <w:lang w:eastAsia="lt-LT"/>
        </w:rPr>
        <w:t>Nepridedama.</w:t>
      </w:r>
    </w:p>
    <w:p w14:paraId="28615093" w14:textId="19A3E7D2" w:rsidR="00691D6C" w:rsidRDefault="00691D6C" w:rsidP="00C47A86">
      <w:pPr>
        <w:pStyle w:val="Pagrindinistekstas2"/>
        <w:spacing w:after="0" w:line="240" w:lineRule="auto"/>
        <w:ind w:firstLine="0"/>
        <w:rPr>
          <w:bCs/>
          <w:iCs/>
          <w:sz w:val="24"/>
          <w:szCs w:val="24"/>
        </w:rPr>
      </w:pPr>
    </w:p>
    <w:p w14:paraId="40012573" w14:textId="77777777" w:rsidR="006708BE" w:rsidRDefault="006708BE" w:rsidP="00C47A86">
      <w:pPr>
        <w:pStyle w:val="Pagrindinistekstas2"/>
        <w:spacing w:after="0" w:line="240" w:lineRule="auto"/>
        <w:ind w:firstLine="0"/>
        <w:rPr>
          <w:bCs/>
          <w:iCs/>
          <w:sz w:val="24"/>
          <w:szCs w:val="24"/>
        </w:rPr>
      </w:pPr>
    </w:p>
    <w:p w14:paraId="412B98E8" w14:textId="52FBFE8D" w:rsidR="00934173" w:rsidRPr="00934173" w:rsidRDefault="00934173" w:rsidP="00C47A86">
      <w:pPr>
        <w:pStyle w:val="Pagrindinistekstas2"/>
        <w:spacing w:after="0" w:line="240" w:lineRule="auto"/>
        <w:ind w:firstLine="0"/>
        <w:rPr>
          <w:bCs/>
          <w:iCs/>
          <w:sz w:val="24"/>
          <w:szCs w:val="24"/>
        </w:rPr>
      </w:pPr>
      <w:r w:rsidRPr="00934173">
        <w:rPr>
          <w:bCs/>
          <w:iCs/>
          <w:sz w:val="24"/>
          <w:szCs w:val="24"/>
        </w:rPr>
        <w:t>Kupiškio rajono savivaldybės administracijos</w:t>
      </w:r>
      <w:r w:rsidRPr="00934173">
        <w:rPr>
          <w:bCs/>
          <w:iCs/>
          <w:sz w:val="24"/>
          <w:szCs w:val="24"/>
        </w:rPr>
        <w:tab/>
      </w:r>
      <w:r w:rsidRPr="00934173">
        <w:rPr>
          <w:bCs/>
          <w:iCs/>
          <w:sz w:val="24"/>
          <w:szCs w:val="24"/>
        </w:rPr>
        <w:tab/>
      </w:r>
      <w:r>
        <w:rPr>
          <w:bCs/>
          <w:iCs/>
          <w:sz w:val="24"/>
          <w:szCs w:val="24"/>
        </w:rPr>
        <w:tab/>
      </w:r>
      <w:r w:rsidR="00626DDA">
        <w:rPr>
          <w:bCs/>
          <w:iCs/>
          <w:sz w:val="24"/>
          <w:szCs w:val="24"/>
        </w:rPr>
        <w:t>Reda Totorienė</w:t>
      </w:r>
    </w:p>
    <w:p w14:paraId="13EE231E" w14:textId="77777777" w:rsidR="001B26AC" w:rsidRDefault="00626DDA" w:rsidP="00C47A86">
      <w:pPr>
        <w:pStyle w:val="Pagrindinistekstas2"/>
        <w:spacing w:after="0" w:line="240" w:lineRule="auto"/>
        <w:ind w:firstLine="0"/>
        <w:rPr>
          <w:bCs/>
          <w:iCs/>
          <w:sz w:val="24"/>
          <w:szCs w:val="24"/>
        </w:rPr>
      </w:pPr>
      <w:r>
        <w:rPr>
          <w:bCs/>
          <w:iCs/>
          <w:sz w:val="24"/>
          <w:szCs w:val="24"/>
        </w:rPr>
        <w:t xml:space="preserve">Finansų ir biudžeto skyriaus vedėja </w:t>
      </w:r>
      <w:r w:rsidR="00C47A86" w:rsidRPr="00934173">
        <w:rPr>
          <w:bCs/>
          <w:iCs/>
          <w:sz w:val="24"/>
          <w:szCs w:val="24"/>
        </w:rPr>
        <w:t xml:space="preserve"> </w:t>
      </w:r>
    </w:p>
    <w:p w14:paraId="5AD60061" w14:textId="4C848BA5" w:rsidR="00FD05CD" w:rsidRPr="00920220" w:rsidRDefault="00C47A86" w:rsidP="00C47A86">
      <w:pPr>
        <w:pStyle w:val="Pagrindinistekstas2"/>
        <w:spacing w:after="0" w:line="240" w:lineRule="auto"/>
        <w:ind w:firstLine="0"/>
        <w:rPr>
          <w:bCs/>
          <w:iCs/>
          <w:sz w:val="24"/>
          <w:szCs w:val="24"/>
        </w:rPr>
      </w:pPr>
      <w:r w:rsidRPr="00934173">
        <w:rPr>
          <w:bCs/>
          <w:iCs/>
          <w:sz w:val="24"/>
          <w:szCs w:val="24"/>
        </w:rPr>
        <w:tab/>
      </w:r>
      <w:r w:rsidRPr="00934173">
        <w:rPr>
          <w:bCs/>
          <w:iCs/>
          <w:sz w:val="24"/>
          <w:szCs w:val="24"/>
        </w:rPr>
        <w:tab/>
        <w:t xml:space="preserve">                              </w:t>
      </w:r>
      <w:r w:rsidR="00063564" w:rsidRPr="00934173">
        <w:rPr>
          <w:bCs/>
          <w:iCs/>
          <w:sz w:val="24"/>
          <w:szCs w:val="24"/>
        </w:rPr>
        <w:t xml:space="preserve">             </w:t>
      </w:r>
      <w:r w:rsidRPr="00934173">
        <w:rPr>
          <w:bCs/>
          <w:iCs/>
          <w:sz w:val="24"/>
          <w:szCs w:val="24"/>
        </w:rPr>
        <w:t xml:space="preserve">        </w:t>
      </w:r>
      <w:r w:rsidR="00934173" w:rsidRPr="00934173">
        <w:rPr>
          <w:bCs/>
          <w:iCs/>
          <w:sz w:val="24"/>
          <w:szCs w:val="24"/>
        </w:rPr>
        <w:t xml:space="preserve"> </w:t>
      </w:r>
    </w:p>
    <w:p w14:paraId="75C6D3EA" w14:textId="0CFBF6F7" w:rsidR="00691D6C" w:rsidRDefault="00691D6C" w:rsidP="00934173">
      <w:pPr>
        <w:ind w:firstLine="0"/>
        <w:rPr>
          <w:bCs/>
          <w:iCs/>
          <w:sz w:val="24"/>
          <w:szCs w:val="24"/>
        </w:rPr>
      </w:pPr>
    </w:p>
    <w:p w14:paraId="393E06BF" w14:textId="1B959CE3" w:rsidR="005B34DA" w:rsidRDefault="005B34DA" w:rsidP="00934173">
      <w:pPr>
        <w:ind w:firstLine="0"/>
        <w:rPr>
          <w:bCs/>
          <w:iCs/>
          <w:sz w:val="24"/>
          <w:szCs w:val="24"/>
        </w:rPr>
      </w:pPr>
    </w:p>
    <w:p w14:paraId="106993C1" w14:textId="3D561247" w:rsidR="005B34DA" w:rsidRDefault="005B34DA" w:rsidP="00934173">
      <w:pPr>
        <w:ind w:firstLine="0"/>
        <w:rPr>
          <w:bCs/>
          <w:iCs/>
          <w:sz w:val="24"/>
          <w:szCs w:val="24"/>
        </w:rPr>
      </w:pPr>
    </w:p>
    <w:p w14:paraId="2A080C5B" w14:textId="11CEBB61" w:rsidR="005B34DA" w:rsidRDefault="005B34DA" w:rsidP="00934173">
      <w:pPr>
        <w:ind w:firstLine="0"/>
        <w:rPr>
          <w:bCs/>
          <w:iCs/>
          <w:sz w:val="24"/>
          <w:szCs w:val="24"/>
        </w:rPr>
      </w:pPr>
    </w:p>
    <w:p w14:paraId="42F7342E" w14:textId="77777777" w:rsidR="005B34DA" w:rsidRDefault="005B34DA" w:rsidP="00934173">
      <w:pPr>
        <w:ind w:firstLine="0"/>
        <w:rPr>
          <w:bCs/>
          <w:iCs/>
          <w:sz w:val="24"/>
          <w:szCs w:val="24"/>
        </w:rPr>
      </w:pPr>
    </w:p>
    <w:p w14:paraId="25138636" w14:textId="77777777" w:rsidR="005B34DA" w:rsidRPr="00063564" w:rsidRDefault="005B34DA" w:rsidP="005B34DA">
      <w:pPr>
        <w:rPr>
          <w:sz w:val="22"/>
          <w:szCs w:val="22"/>
        </w:rPr>
      </w:pPr>
      <w:r w:rsidRPr="00063564">
        <w:rPr>
          <w:bCs/>
          <w:iCs/>
          <w:sz w:val="24"/>
          <w:szCs w:val="24"/>
        </w:rPr>
        <w:t xml:space="preserve">* </w:t>
      </w:r>
      <w:r w:rsidRPr="00063564">
        <w:rPr>
          <w:bCs/>
          <w:iCs/>
          <w:sz w:val="22"/>
          <w:szCs w:val="22"/>
        </w:rPr>
        <w:t xml:space="preserve">sprendžia projekto rengėjas, atsižvelgdamas į Teisės aktų projektų antikorupcinio vertinimo taisykles, patvirtintas </w:t>
      </w:r>
      <w:r w:rsidRPr="00063564">
        <w:rPr>
          <w:sz w:val="22"/>
          <w:szCs w:val="22"/>
        </w:rPr>
        <w:t>Lietuvos Respublikos Vyriausybės 2014 m. kovo 12 d. nutarimu Nr. 243 „Dėl Teisės aktų projektų antikorupcinio vertinimo taisyklių patvirtinimo“</w:t>
      </w:r>
    </w:p>
    <w:p w14:paraId="1B99747F" w14:textId="1DCA3205" w:rsidR="00232924" w:rsidRPr="00063564" w:rsidRDefault="00232924" w:rsidP="00934173">
      <w:pPr>
        <w:ind w:firstLine="0"/>
        <w:rPr>
          <w:sz w:val="22"/>
          <w:szCs w:val="22"/>
        </w:rPr>
      </w:pPr>
    </w:p>
    <w:sectPr w:rsidR="00232924" w:rsidRPr="00063564" w:rsidSect="00835D50">
      <w:headerReference w:type="default" r:id="rId12"/>
      <w:headerReference w:type="first" r:id="rId13"/>
      <w:pgSz w:w="11907" w:h="16840" w:code="9"/>
      <w:pgMar w:top="568" w:right="567" w:bottom="1134" w:left="1701" w:header="567" w:footer="284" w:gutter="0"/>
      <w:cols w:space="1296"/>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5F701" w14:textId="77777777" w:rsidR="000041FE" w:rsidRDefault="000041FE" w:rsidP="00A33F78">
      <w:r>
        <w:separator/>
      </w:r>
    </w:p>
  </w:endnote>
  <w:endnote w:type="continuationSeparator" w:id="0">
    <w:p w14:paraId="7C21811A" w14:textId="77777777" w:rsidR="000041FE" w:rsidRDefault="000041FE" w:rsidP="00A33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5D43C" w14:textId="77777777" w:rsidR="000041FE" w:rsidRDefault="000041FE" w:rsidP="00A33F78">
      <w:r>
        <w:separator/>
      </w:r>
    </w:p>
  </w:footnote>
  <w:footnote w:type="continuationSeparator" w:id="0">
    <w:p w14:paraId="082E22C9" w14:textId="77777777" w:rsidR="000041FE" w:rsidRDefault="000041FE" w:rsidP="00A33F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7EAB3" w14:textId="77777777" w:rsidR="00960D7B" w:rsidRDefault="00960D7B">
    <w:pPr>
      <w:pStyle w:val="Antrats"/>
      <w:jc w:val="center"/>
    </w:pPr>
    <w:r>
      <w:fldChar w:fldCharType="begin"/>
    </w:r>
    <w:r>
      <w:instrText xml:space="preserve"> PAGE   \* MERGEFORMAT </w:instrText>
    </w:r>
    <w:r>
      <w:fldChar w:fldCharType="separate"/>
    </w:r>
    <w:r w:rsidR="00BC6AC2">
      <w:rPr>
        <w:noProof/>
      </w:rPr>
      <w:t>12</w:t>
    </w:r>
    <w:r>
      <w:rPr>
        <w:noProof/>
      </w:rPr>
      <w:fldChar w:fldCharType="end"/>
    </w:r>
  </w:p>
  <w:p w14:paraId="3A43B3BD" w14:textId="77777777" w:rsidR="00960D7B" w:rsidRDefault="00960D7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5A212" w14:textId="77777777" w:rsidR="00960D7B" w:rsidRDefault="00960D7B" w:rsidP="00063564">
    <w:pPr>
      <w:pStyle w:val="Antrats"/>
      <w:jc w:val="center"/>
    </w:pPr>
    <w:r>
      <w:t xml:space="preserve">                                                          </w:t>
    </w:r>
  </w:p>
  <w:p w14:paraId="3977731E" w14:textId="77777777" w:rsidR="00960D7B" w:rsidRDefault="00960D7B">
    <w:pPr>
      <w:pStyle w:val="Antrats"/>
      <w:tabs>
        <w:tab w:val="clear" w:pos="4153"/>
        <w:tab w:val="clear" w:pos="8306"/>
        <w:tab w:val="center" w:pos="4820"/>
        <w:tab w:val="left" w:pos="6237"/>
      </w:tabs>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080A"/>
    <w:multiLevelType w:val="hybridMultilevel"/>
    <w:tmpl w:val="E34ED570"/>
    <w:lvl w:ilvl="0" w:tplc="0427000F">
      <w:start w:val="1"/>
      <w:numFmt w:val="decimal"/>
      <w:lvlText w:val="%1."/>
      <w:lvlJc w:val="left"/>
      <w:pPr>
        <w:ind w:left="1352"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
    <w:nsid w:val="4AF136D5"/>
    <w:multiLevelType w:val="hybridMultilevel"/>
    <w:tmpl w:val="76DE8FC4"/>
    <w:lvl w:ilvl="0" w:tplc="B1D48302">
      <w:start w:val="1"/>
      <w:numFmt w:val="lowerLetter"/>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nsid w:val="6DC15355"/>
    <w:multiLevelType w:val="hybridMultilevel"/>
    <w:tmpl w:val="FB6CF830"/>
    <w:lvl w:ilvl="0" w:tplc="B3D0C36E">
      <w:start w:val="2020"/>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A86"/>
    <w:rsid w:val="000041FE"/>
    <w:rsid w:val="00011283"/>
    <w:rsid w:val="00024457"/>
    <w:rsid w:val="000257CA"/>
    <w:rsid w:val="00034CC6"/>
    <w:rsid w:val="00044FB8"/>
    <w:rsid w:val="000477FB"/>
    <w:rsid w:val="00050854"/>
    <w:rsid w:val="00052E6A"/>
    <w:rsid w:val="00061B68"/>
    <w:rsid w:val="00063564"/>
    <w:rsid w:val="0007343A"/>
    <w:rsid w:val="00076E4D"/>
    <w:rsid w:val="00083D28"/>
    <w:rsid w:val="00084E5E"/>
    <w:rsid w:val="00097229"/>
    <w:rsid w:val="000A1DBA"/>
    <w:rsid w:val="000A4D44"/>
    <w:rsid w:val="000B54B2"/>
    <w:rsid w:val="000B7414"/>
    <w:rsid w:val="000D2F0A"/>
    <w:rsid w:val="000D6EC5"/>
    <w:rsid w:val="000E3D87"/>
    <w:rsid w:val="000F2B9E"/>
    <w:rsid w:val="00105BC5"/>
    <w:rsid w:val="0011393A"/>
    <w:rsid w:val="001153B8"/>
    <w:rsid w:val="00122C6F"/>
    <w:rsid w:val="00132E60"/>
    <w:rsid w:val="00144D62"/>
    <w:rsid w:val="00146D97"/>
    <w:rsid w:val="00163378"/>
    <w:rsid w:val="0018017E"/>
    <w:rsid w:val="00180329"/>
    <w:rsid w:val="00193F15"/>
    <w:rsid w:val="00197F94"/>
    <w:rsid w:val="001B26AC"/>
    <w:rsid w:val="001B2ED6"/>
    <w:rsid w:val="001E2BA9"/>
    <w:rsid w:val="001E5FC4"/>
    <w:rsid w:val="001E66F6"/>
    <w:rsid w:val="001F287D"/>
    <w:rsid w:val="00215DB0"/>
    <w:rsid w:val="002174C3"/>
    <w:rsid w:val="0022133E"/>
    <w:rsid w:val="002251D7"/>
    <w:rsid w:val="00232924"/>
    <w:rsid w:val="00242D39"/>
    <w:rsid w:val="002556D5"/>
    <w:rsid w:val="00260095"/>
    <w:rsid w:val="002661B4"/>
    <w:rsid w:val="00287407"/>
    <w:rsid w:val="00290166"/>
    <w:rsid w:val="0029087A"/>
    <w:rsid w:val="002A4274"/>
    <w:rsid w:val="002B08E3"/>
    <w:rsid w:val="002B1E54"/>
    <w:rsid w:val="002B5E03"/>
    <w:rsid w:val="002B6CC3"/>
    <w:rsid w:val="002C46AD"/>
    <w:rsid w:val="002E145F"/>
    <w:rsid w:val="00304074"/>
    <w:rsid w:val="00304366"/>
    <w:rsid w:val="00311C55"/>
    <w:rsid w:val="00314ABC"/>
    <w:rsid w:val="00320D61"/>
    <w:rsid w:val="00330404"/>
    <w:rsid w:val="00341F3C"/>
    <w:rsid w:val="00343BFF"/>
    <w:rsid w:val="0034558D"/>
    <w:rsid w:val="003475BF"/>
    <w:rsid w:val="00353E2C"/>
    <w:rsid w:val="003716D5"/>
    <w:rsid w:val="003718A8"/>
    <w:rsid w:val="00377534"/>
    <w:rsid w:val="00380469"/>
    <w:rsid w:val="00395CDF"/>
    <w:rsid w:val="003A1DE8"/>
    <w:rsid w:val="003B0B6D"/>
    <w:rsid w:val="003B7295"/>
    <w:rsid w:val="003B7ED6"/>
    <w:rsid w:val="003C2277"/>
    <w:rsid w:val="003D187B"/>
    <w:rsid w:val="003D4920"/>
    <w:rsid w:val="003E33B0"/>
    <w:rsid w:val="003F2EDB"/>
    <w:rsid w:val="0040053C"/>
    <w:rsid w:val="00416AF0"/>
    <w:rsid w:val="00424FF2"/>
    <w:rsid w:val="00426996"/>
    <w:rsid w:val="00440C29"/>
    <w:rsid w:val="00441106"/>
    <w:rsid w:val="0045414C"/>
    <w:rsid w:val="00465C0F"/>
    <w:rsid w:val="004667FB"/>
    <w:rsid w:val="0047456C"/>
    <w:rsid w:val="004778E9"/>
    <w:rsid w:val="00481DDD"/>
    <w:rsid w:val="00491217"/>
    <w:rsid w:val="00492BEC"/>
    <w:rsid w:val="0049482A"/>
    <w:rsid w:val="00494FB1"/>
    <w:rsid w:val="004965BC"/>
    <w:rsid w:val="00496BE5"/>
    <w:rsid w:val="004A0A21"/>
    <w:rsid w:val="004A4CB1"/>
    <w:rsid w:val="004D16F4"/>
    <w:rsid w:val="004D29D2"/>
    <w:rsid w:val="004D749A"/>
    <w:rsid w:val="004E531D"/>
    <w:rsid w:val="004F7993"/>
    <w:rsid w:val="005352B3"/>
    <w:rsid w:val="0055632E"/>
    <w:rsid w:val="00556A62"/>
    <w:rsid w:val="00562F2C"/>
    <w:rsid w:val="00563DD1"/>
    <w:rsid w:val="0056623E"/>
    <w:rsid w:val="00590A24"/>
    <w:rsid w:val="005A24C8"/>
    <w:rsid w:val="005B0623"/>
    <w:rsid w:val="005B19B0"/>
    <w:rsid w:val="005B34DA"/>
    <w:rsid w:val="005B3CF5"/>
    <w:rsid w:val="005C419B"/>
    <w:rsid w:val="005D0205"/>
    <w:rsid w:val="005D44F7"/>
    <w:rsid w:val="005E3E8C"/>
    <w:rsid w:val="005E52A6"/>
    <w:rsid w:val="005F29D9"/>
    <w:rsid w:val="0060087B"/>
    <w:rsid w:val="00605C54"/>
    <w:rsid w:val="00613B2B"/>
    <w:rsid w:val="00621D02"/>
    <w:rsid w:val="00621E59"/>
    <w:rsid w:val="00626DDA"/>
    <w:rsid w:val="00632762"/>
    <w:rsid w:val="00637BD5"/>
    <w:rsid w:val="00654C0B"/>
    <w:rsid w:val="0066029D"/>
    <w:rsid w:val="006708BE"/>
    <w:rsid w:val="00670F13"/>
    <w:rsid w:val="00677EA4"/>
    <w:rsid w:val="00684F42"/>
    <w:rsid w:val="00691D6C"/>
    <w:rsid w:val="00694553"/>
    <w:rsid w:val="00694D9E"/>
    <w:rsid w:val="006A46CE"/>
    <w:rsid w:val="006B10FC"/>
    <w:rsid w:val="006B1219"/>
    <w:rsid w:val="006C02CA"/>
    <w:rsid w:val="006C2711"/>
    <w:rsid w:val="006C663E"/>
    <w:rsid w:val="006C7FEA"/>
    <w:rsid w:val="006E40F0"/>
    <w:rsid w:val="006F0649"/>
    <w:rsid w:val="006F26FB"/>
    <w:rsid w:val="006F4846"/>
    <w:rsid w:val="006F79E4"/>
    <w:rsid w:val="00704DF5"/>
    <w:rsid w:val="00716B11"/>
    <w:rsid w:val="0073177C"/>
    <w:rsid w:val="007619C4"/>
    <w:rsid w:val="0076752D"/>
    <w:rsid w:val="007675C7"/>
    <w:rsid w:val="00774441"/>
    <w:rsid w:val="00787C52"/>
    <w:rsid w:val="00792884"/>
    <w:rsid w:val="007B389D"/>
    <w:rsid w:val="007C0AA1"/>
    <w:rsid w:val="007D073B"/>
    <w:rsid w:val="007D0CD9"/>
    <w:rsid w:val="007D6DB8"/>
    <w:rsid w:val="007F5D30"/>
    <w:rsid w:val="007F65EB"/>
    <w:rsid w:val="007F65FD"/>
    <w:rsid w:val="008021EC"/>
    <w:rsid w:val="00811AE7"/>
    <w:rsid w:val="00812232"/>
    <w:rsid w:val="0081661F"/>
    <w:rsid w:val="00817509"/>
    <w:rsid w:val="0082731B"/>
    <w:rsid w:val="00830A65"/>
    <w:rsid w:val="00831ED3"/>
    <w:rsid w:val="00831F84"/>
    <w:rsid w:val="00835D50"/>
    <w:rsid w:val="00851774"/>
    <w:rsid w:val="00851C25"/>
    <w:rsid w:val="00855C36"/>
    <w:rsid w:val="00855EEB"/>
    <w:rsid w:val="008568C0"/>
    <w:rsid w:val="00862DB0"/>
    <w:rsid w:val="00864C26"/>
    <w:rsid w:val="00870CA4"/>
    <w:rsid w:val="00880D7A"/>
    <w:rsid w:val="00884EFB"/>
    <w:rsid w:val="008919A4"/>
    <w:rsid w:val="008A3065"/>
    <w:rsid w:val="008B31C5"/>
    <w:rsid w:val="008B5A08"/>
    <w:rsid w:val="008D6635"/>
    <w:rsid w:val="008D7964"/>
    <w:rsid w:val="008F3D48"/>
    <w:rsid w:val="00901E66"/>
    <w:rsid w:val="00905CDB"/>
    <w:rsid w:val="00920220"/>
    <w:rsid w:val="009203FC"/>
    <w:rsid w:val="00922786"/>
    <w:rsid w:val="00922AD2"/>
    <w:rsid w:val="009301F7"/>
    <w:rsid w:val="00933B82"/>
    <w:rsid w:val="00934173"/>
    <w:rsid w:val="009453A8"/>
    <w:rsid w:val="0094778C"/>
    <w:rsid w:val="009503F5"/>
    <w:rsid w:val="0095348C"/>
    <w:rsid w:val="0096099D"/>
    <w:rsid w:val="00960D7B"/>
    <w:rsid w:val="00961B84"/>
    <w:rsid w:val="00963452"/>
    <w:rsid w:val="00965715"/>
    <w:rsid w:val="00966B78"/>
    <w:rsid w:val="009828ED"/>
    <w:rsid w:val="00984622"/>
    <w:rsid w:val="00990E24"/>
    <w:rsid w:val="0099258A"/>
    <w:rsid w:val="009961EE"/>
    <w:rsid w:val="009A1BB0"/>
    <w:rsid w:val="009A2CC6"/>
    <w:rsid w:val="009A3B62"/>
    <w:rsid w:val="009B0E7C"/>
    <w:rsid w:val="009B24B1"/>
    <w:rsid w:val="009B2FDF"/>
    <w:rsid w:val="009C2BEA"/>
    <w:rsid w:val="009C543E"/>
    <w:rsid w:val="009D2F86"/>
    <w:rsid w:val="009D77A7"/>
    <w:rsid w:val="009D7D6A"/>
    <w:rsid w:val="009F3ECA"/>
    <w:rsid w:val="00A01565"/>
    <w:rsid w:val="00A10490"/>
    <w:rsid w:val="00A1074D"/>
    <w:rsid w:val="00A12D4F"/>
    <w:rsid w:val="00A33F78"/>
    <w:rsid w:val="00A37507"/>
    <w:rsid w:val="00A44592"/>
    <w:rsid w:val="00A4791C"/>
    <w:rsid w:val="00A605F3"/>
    <w:rsid w:val="00A61C07"/>
    <w:rsid w:val="00A6625D"/>
    <w:rsid w:val="00A76FB6"/>
    <w:rsid w:val="00A8580E"/>
    <w:rsid w:val="00A91568"/>
    <w:rsid w:val="00A928A8"/>
    <w:rsid w:val="00AB374B"/>
    <w:rsid w:val="00AB39D4"/>
    <w:rsid w:val="00AC5358"/>
    <w:rsid w:val="00AE61C3"/>
    <w:rsid w:val="00AF0200"/>
    <w:rsid w:val="00AF54B0"/>
    <w:rsid w:val="00AF6C13"/>
    <w:rsid w:val="00AF7B6A"/>
    <w:rsid w:val="00B01C59"/>
    <w:rsid w:val="00B026AB"/>
    <w:rsid w:val="00B064B0"/>
    <w:rsid w:val="00B141E2"/>
    <w:rsid w:val="00B23D27"/>
    <w:rsid w:val="00B240BC"/>
    <w:rsid w:val="00B32B8B"/>
    <w:rsid w:val="00B470A8"/>
    <w:rsid w:val="00B47127"/>
    <w:rsid w:val="00B502B0"/>
    <w:rsid w:val="00B51008"/>
    <w:rsid w:val="00B52B10"/>
    <w:rsid w:val="00B52BC7"/>
    <w:rsid w:val="00B53202"/>
    <w:rsid w:val="00B56A28"/>
    <w:rsid w:val="00B6536D"/>
    <w:rsid w:val="00B67580"/>
    <w:rsid w:val="00B77C99"/>
    <w:rsid w:val="00B87167"/>
    <w:rsid w:val="00B959F2"/>
    <w:rsid w:val="00BA4149"/>
    <w:rsid w:val="00BA4EA0"/>
    <w:rsid w:val="00BA6EAF"/>
    <w:rsid w:val="00BB2480"/>
    <w:rsid w:val="00BB6D62"/>
    <w:rsid w:val="00BC35C5"/>
    <w:rsid w:val="00BC6AC2"/>
    <w:rsid w:val="00BD01C6"/>
    <w:rsid w:val="00BD1938"/>
    <w:rsid w:val="00BD19AC"/>
    <w:rsid w:val="00BE5D46"/>
    <w:rsid w:val="00BF207E"/>
    <w:rsid w:val="00BF6FC2"/>
    <w:rsid w:val="00C02722"/>
    <w:rsid w:val="00C07E4B"/>
    <w:rsid w:val="00C23DC9"/>
    <w:rsid w:val="00C31251"/>
    <w:rsid w:val="00C329C6"/>
    <w:rsid w:val="00C40BC8"/>
    <w:rsid w:val="00C47A86"/>
    <w:rsid w:val="00C52641"/>
    <w:rsid w:val="00C55789"/>
    <w:rsid w:val="00C652B4"/>
    <w:rsid w:val="00C656DD"/>
    <w:rsid w:val="00C7547B"/>
    <w:rsid w:val="00C76456"/>
    <w:rsid w:val="00C7741B"/>
    <w:rsid w:val="00C85332"/>
    <w:rsid w:val="00CA141A"/>
    <w:rsid w:val="00CA17DA"/>
    <w:rsid w:val="00CB72A2"/>
    <w:rsid w:val="00CC2578"/>
    <w:rsid w:val="00CC2AE2"/>
    <w:rsid w:val="00CD471D"/>
    <w:rsid w:val="00CD4986"/>
    <w:rsid w:val="00CD4FB4"/>
    <w:rsid w:val="00CF056B"/>
    <w:rsid w:val="00CF1066"/>
    <w:rsid w:val="00CF2044"/>
    <w:rsid w:val="00CF5F78"/>
    <w:rsid w:val="00D00D7D"/>
    <w:rsid w:val="00D014D9"/>
    <w:rsid w:val="00D15DEB"/>
    <w:rsid w:val="00D15F70"/>
    <w:rsid w:val="00D21802"/>
    <w:rsid w:val="00D45BF2"/>
    <w:rsid w:val="00D471CD"/>
    <w:rsid w:val="00D479AE"/>
    <w:rsid w:val="00D60FD0"/>
    <w:rsid w:val="00D611EF"/>
    <w:rsid w:val="00D810B6"/>
    <w:rsid w:val="00D84320"/>
    <w:rsid w:val="00D84709"/>
    <w:rsid w:val="00D91897"/>
    <w:rsid w:val="00DC0F0A"/>
    <w:rsid w:val="00DC4484"/>
    <w:rsid w:val="00DC754E"/>
    <w:rsid w:val="00DD0FC3"/>
    <w:rsid w:val="00DD2941"/>
    <w:rsid w:val="00DD4858"/>
    <w:rsid w:val="00DD68E0"/>
    <w:rsid w:val="00DE21A8"/>
    <w:rsid w:val="00DF0034"/>
    <w:rsid w:val="00DF3474"/>
    <w:rsid w:val="00E0063A"/>
    <w:rsid w:val="00E061D7"/>
    <w:rsid w:val="00E06C11"/>
    <w:rsid w:val="00E07742"/>
    <w:rsid w:val="00E12A0C"/>
    <w:rsid w:val="00E2561C"/>
    <w:rsid w:val="00E30805"/>
    <w:rsid w:val="00E45C47"/>
    <w:rsid w:val="00E45FB0"/>
    <w:rsid w:val="00E47AF7"/>
    <w:rsid w:val="00E53882"/>
    <w:rsid w:val="00E56CA3"/>
    <w:rsid w:val="00E63298"/>
    <w:rsid w:val="00E65E2E"/>
    <w:rsid w:val="00E75467"/>
    <w:rsid w:val="00E8363E"/>
    <w:rsid w:val="00E854FC"/>
    <w:rsid w:val="00E864BF"/>
    <w:rsid w:val="00E92A7F"/>
    <w:rsid w:val="00EA3302"/>
    <w:rsid w:val="00EA63E9"/>
    <w:rsid w:val="00EB03DB"/>
    <w:rsid w:val="00EB7E6F"/>
    <w:rsid w:val="00EC2A78"/>
    <w:rsid w:val="00EC36AC"/>
    <w:rsid w:val="00ED39FE"/>
    <w:rsid w:val="00ED3BA1"/>
    <w:rsid w:val="00EE45FB"/>
    <w:rsid w:val="00EF2137"/>
    <w:rsid w:val="00EF6264"/>
    <w:rsid w:val="00F12407"/>
    <w:rsid w:val="00F30D28"/>
    <w:rsid w:val="00F323A7"/>
    <w:rsid w:val="00F4286E"/>
    <w:rsid w:val="00F513C2"/>
    <w:rsid w:val="00F56E28"/>
    <w:rsid w:val="00F579A1"/>
    <w:rsid w:val="00F628ED"/>
    <w:rsid w:val="00F635FB"/>
    <w:rsid w:val="00F66B46"/>
    <w:rsid w:val="00F673EE"/>
    <w:rsid w:val="00F74179"/>
    <w:rsid w:val="00F770E2"/>
    <w:rsid w:val="00F924A3"/>
    <w:rsid w:val="00FA60D1"/>
    <w:rsid w:val="00FC004D"/>
    <w:rsid w:val="00FD05CD"/>
    <w:rsid w:val="00FE0BB0"/>
    <w:rsid w:val="00FF4F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EE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7A86"/>
    <w:pPr>
      <w:spacing w:after="0" w:line="240" w:lineRule="auto"/>
      <w:ind w:firstLine="567"/>
      <w:jc w:val="both"/>
    </w:pPr>
    <w:rPr>
      <w:rFonts w:ascii="Times New Roman" w:eastAsia="Times New Roman" w:hAnsi="Times New Roman" w:cs="Times New Roman"/>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47A86"/>
    <w:pPr>
      <w:tabs>
        <w:tab w:val="center" w:pos="4153"/>
        <w:tab w:val="right" w:pos="8306"/>
      </w:tabs>
    </w:pPr>
  </w:style>
  <w:style w:type="character" w:customStyle="1" w:styleId="AntratsDiagrama">
    <w:name w:val="Antraštės Diagrama"/>
    <w:basedOn w:val="Numatytasispastraiposriftas"/>
    <w:link w:val="Antrats"/>
    <w:uiPriority w:val="99"/>
    <w:rsid w:val="00C47A86"/>
    <w:rPr>
      <w:rFonts w:ascii="Times New Roman" w:eastAsia="Times New Roman" w:hAnsi="Times New Roman" w:cs="Times New Roman"/>
      <w:sz w:val="26"/>
      <w:szCs w:val="20"/>
    </w:rPr>
  </w:style>
  <w:style w:type="character" w:styleId="Hipersaitas">
    <w:name w:val="Hyperlink"/>
    <w:basedOn w:val="Numatytasispastraiposriftas"/>
    <w:rsid w:val="00C47A86"/>
    <w:rPr>
      <w:color w:val="0000FF"/>
      <w:u w:val="single"/>
    </w:rPr>
  </w:style>
  <w:style w:type="paragraph" w:styleId="Pagrindinistekstas2">
    <w:name w:val="Body Text 2"/>
    <w:basedOn w:val="prastasis"/>
    <w:link w:val="Pagrindinistekstas2Diagrama"/>
    <w:rsid w:val="00C47A86"/>
    <w:pPr>
      <w:spacing w:after="120" w:line="480" w:lineRule="auto"/>
    </w:pPr>
  </w:style>
  <w:style w:type="character" w:customStyle="1" w:styleId="Pagrindinistekstas2Diagrama">
    <w:name w:val="Pagrindinis tekstas 2 Diagrama"/>
    <w:basedOn w:val="Numatytasispastraiposriftas"/>
    <w:link w:val="Pagrindinistekstas2"/>
    <w:rsid w:val="00C47A86"/>
    <w:rPr>
      <w:rFonts w:ascii="Times New Roman" w:eastAsia="Times New Roman" w:hAnsi="Times New Roman" w:cs="Times New Roman"/>
      <w:sz w:val="26"/>
      <w:szCs w:val="20"/>
    </w:rPr>
  </w:style>
  <w:style w:type="paragraph" w:styleId="Debesliotekstas">
    <w:name w:val="Balloon Text"/>
    <w:basedOn w:val="prastasis"/>
    <w:link w:val="DebesliotekstasDiagrama"/>
    <w:uiPriority w:val="99"/>
    <w:semiHidden/>
    <w:unhideWhenUsed/>
    <w:rsid w:val="00C47A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A86"/>
    <w:rPr>
      <w:rFonts w:ascii="Tahoma" w:eastAsia="Times New Roman" w:hAnsi="Tahoma" w:cs="Tahoma"/>
      <w:sz w:val="16"/>
      <w:szCs w:val="16"/>
    </w:rPr>
  </w:style>
  <w:style w:type="paragraph" w:styleId="Porat">
    <w:name w:val="footer"/>
    <w:basedOn w:val="prastasis"/>
    <w:link w:val="PoratDiagrama"/>
    <w:uiPriority w:val="99"/>
    <w:unhideWhenUsed/>
    <w:rsid w:val="00A33F78"/>
    <w:pPr>
      <w:tabs>
        <w:tab w:val="center" w:pos="4819"/>
        <w:tab w:val="right" w:pos="9638"/>
      </w:tabs>
    </w:pPr>
  </w:style>
  <w:style w:type="character" w:customStyle="1" w:styleId="PoratDiagrama">
    <w:name w:val="Poraštė Diagrama"/>
    <w:basedOn w:val="Numatytasispastraiposriftas"/>
    <w:link w:val="Porat"/>
    <w:uiPriority w:val="99"/>
    <w:rsid w:val="00A33F78"/>
    <w:rPr>
      <w:rFonts w:ascii="Times New Roman" w:eastAsia="Times New Roman" w:hAnsi="Times New Roman" w:cs="Times New Roman"/>
      <w:sz w:val="26"/>
      <w:szCs w:val="20"/>
    </w:rPr>
  </w:style>
  <w:style w:type="paragraph" w:styleId="Sraopastraipa">
    <w:name w:val="List Paragraph"/>
    <w:basedOn w:val="prastasis"/>
    <w:uiPriority w:val="34"/>
    <w:qFormat/>
    <w:rsid w:val="005B0623"/>
    <w:pPr>
      <w:ind w:left="720"/>
      <w:contextualSpacing/>
    </w:pPr>
  </w:style>
  <w:style w:type="table" w:styleId="Lentelstinklelis">
    <w:name w:val="Table Grid"/>
    <w:basedOn w:val="prastojilentel"/>
    <w:uiPriority w:val="59"/>
    <w:rsid w:val="009A3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47A86"/>
    <w:pPr>
      <w:spacing w:after="0" w:line="240" w:lineRule="auto"/>
      <w:ind w:firstLine="567"/>
      <w:jc w:val="both"/>
    </w:pPr>
    <w:rPr>
      <w:rFonts w:ascii="Times New Roman" w:eastAsia="Times New Roman" w:hAnsi="Times New Roman" w:cs="Times New Roman"/>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47A86"/>
    <w:pPr>
      <w:tabs>
        <w:tab w:val="center" w:pos="4153"/>
        <w:tab w:val="right" w:pos="8306"/>
      </w:tabs>
    </w:pPr>
  </w:style>
  <w:style w:type="character" w:customStyle="1" w:styleId="AntratsDiagrama">
    <w:name w:val="Antraštės Diagrama"/>
    <w:basedOn w:val="Numatytasispastraiposriftas"/>
    <w:link w:val="Antrats"/>
    <w:uiPriority w:val="99"/>
    <w:rsid w:val="00C47A86"/>
    <w:rPr>
      <w:rFonts w:ascii="Times New Roman" w:eastAsia="Times New Roman" w:hAnsi="Times New Roman" w:cs="Times New Roman"/>
      <w:sz w:val="26"/>
      <w:szCs w:val="20"/>
    </w:rPr>
  </w:style>
  <w:style w:type="character" w:styleId="Hipersaitas">
    <w:name w:val="Hyperlink"/>
    <w:basedOn w:val="Numatytasispastraiposriftas"/>
    <w:rsid w:val="00C47A86"/>
    <w:rPr>
      <w:color w:val="0000FF"/>
      <w:u w:val="single"/>
    </w:rPr>
  </w:style>
  <w:style w:type="paragraph" w:styleId="Pagrindinistekstas2">
    <w:name w:val="Body Text 2"/>
    <w:basedOn w:val="prastasis"/>
    <w:link w:val="Pagrindinistekstas2Diagrama"/>
    <w:rsid w:val="00C47A86"/>
    <w:pPr>
      <w:spacing w:after="120" w:line="480" w:lineRule="auto"/>
    </w:pPr>
  </w:style>
  <w:style w:type="character" w:customStyle="1" w:styleId="Pagrindinistekstas2Diagrama">
    <w:name w:val="Pagrindinis tekstas 2 Diagrama"/>
    <w:basedOn w:val="Numatytasispastraiposriftas"/>
    <w:link w:val="Pagrindinistekstas2"/>
    <w:rsid w:val="00C47A86"/>
    <w:rPr>
      <w:rFonts w:ascii="Times New Roman" w:eastAsia="Times New Roman" w:hAnsi="Times New Roman" w:cs="Times New Roman"/>
      <w:sz w:val="26"/>
      <w:szCs w:val="20"/>
    </w:rPr>
  </w:style>
  <w:style w:type="paragraph" w:styleId="Debesliotekstas">
    <w:name w:val="Balloon Text"/>
    <w:basedOn w:val="prastasis"/>
    <w:link w:val="DebesliotekstasDiagrama"/>
    <w:uiPriority w:val="99"/>
    <w:semiHidden/>
    <w:unhideWhenUsed/>
    <w:rsid w:val="00C47A8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7A86"/>
    <w:rPr>
      <w:rFonts w:ascii="Tahoma" w:eastAsia="Times New Roman" w:hAnsi="Tahoma" w:cs="Tahoma"/>
      <w:sz w:val="16"/>
      <w:szCs w:val="16"/>
    </w:rPr>
  </w:style>
  <w:style w:type="paragraph" w:styleId="Porat">
    <w:name w:val="footer"/>
    <w:basedOn w:val="prastasis"/>
    <w:link w:val="PoratDiagrama"/>
    <w:uiPriority w:val="99"/>
    <w:unhideWhenUsed/>
    <w:rsid w:val="00A33F78"/>
    <w:pPr>
      <w:tabs>
        <w:tab w:val="center" w:pos="4819"/>
        <w:tab w:val="right" w:pos="9638"/>
      </w:tabs>
    </w:pPr>
  </w:style>
  <w:style w:type="character" w:customStyle="1" w:styleId="PoratDiagrama">
    <w:name w:val="Poraštė Diagrama"/>
    <w:basedOn w:val="Numatytasispastraiposriftas"/>
    <w:link w:val="Porat"/>
    <w:uiPriority w:val="99"/>
    <w:rsid w:val="00A33F78"/>
    <w:rPr>
      <w:rFonts w:ascii="Times New Roman" w:eastAsia="Times New Roman" w:hAnsi="Times New Roman" w:cs="Times New Roman"/>
      <w:sz w:val="26"/>
      <w:szCs w:val="20"/>
    </w:rPr>
  </w:style>
  <w:style w:type="paragraph" w:styleId="Sraopastraipa">
    <w:name w:val="List Paragraph"/>
    <w:basedOn w:val="prastasis"/>
    <w:uiPriority w:val="34"/>
    <w:qFormat/>
    <w:rsid w:val="005B0623"/>
    <w:pPr>
      <w:ind w:left="720"/>
      <w:contextualSpacing/>
    </w:pPr>
  </w:style>
  <w:style w:type="table" w:styleId="Lentelstinklelis">
    <w:name w:val="Table Grid"/>
    <w:basedOn w:val="prastojilentel"/>
    <w:uiPriority w:val="59"/>
    <w:rsid w:val="009A3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0699">
      <w:bodyDiv w:val="1"/>
      <w:marLeft w:val="0"/>
      <w:marRight w:val="0"/>
      <w:marTop w:val="0"/>
      <w:marBottom w:val="0"/>
      <w:divBdr>
        <w:top w:val="none" w:sz="0" w:space="0" w:color="auto"/>
        <w:left w:val="none" w:sz="0" w:space="0" w:color="auto"/>
        <w:bottom w:val="none" w:sz="0" w:space="0" w:color="auto"/>
        <w:right w:val="none" w:sz="0" w:space="0" w:color="auto"/>
      </w:divBdr>
    </w:div>
    <w:div w:id="115636574">
      <w:bodyDiv w:val="1"/>
      <w:marLeft w:val="0"/>
      <w:marRight w:val="0"/>
      <w:marTop w:val="0"/>
      <w:marBottom w:val="0"/>
      <w:divBdr>
        <w:top w:val="none" w:sz="0" w:space="0" w:color="auto"/>
        <w:left w:val="none" w:sz="0" w:space="0" w:color="auto"/>
        <w:bottom w:val="none" w:sz="0" w:space="0" w:color="auto"/>
        <w:right w:val="none" w:sz="0" w:space="0" w:color="auto"/>
      </w:divBdr>
    </w:div>
    <w:div w:id="126902524">
      <w:bodyDiv w:val="1"/>
      <w:marLeft w:val="0"/>
      <w:marRight w:val="0"/>
      <w:marTop w:val="0"/>
      <w:marBottom w:val="0"/>
      <w:divBdr>
        <w:top w:val="none" w:sz="0" w:space="0" w:color="auto"/>
        <w:left w:val="none" w:sz="0" w:space="0" w:color="auto"/>
        <w:bottom w:val="none" w:sz="0" w:space="0" w:color="auto"/>
        <w:right w:val="none" w:sz="0" w:space="0" w:color="auto"/>
      </w:divBdr>
    </w:div>
    <w:div w:id="152793692">
      <w:bodyDiv w:val="1"/>
      <w:marLeft w:val="0"/>
      <w:marRight w:val="0"/>
      <w:marTop w:val="0"/>
      <w:marBottom w:val="0"/>
      <w:divBdr>
        <w:top w:val="none" w:sz="0" w:space="0" w:color="auto"/>
        <w:left w:val="none" w:sz="0" w:space="0" w:color="auto"/>
        <w:bottom w:val="none" w:sz="0" w:space="0" w:color="auto"/>
        <w:right w:val="none" w:sz="0" w:space="0" w:color="auto"/>
      </w:divBdr>
    </w:div>
    <w:div w:id="162162334">
      <w:bodyDiv w:val="1"/>
      <w:marLeft w:val="0"/>
      <w:marRight w:val="0"/>
      <w:marTop w:val="0"/>
      <w:marBottom w:val="0"/>
      <w:divBdr>
        <w:top w:val="none" w:sz="0" w:space="0" w:color="auto"/>
        <w:left w:val="none" w:sz="0" w:space="0" w:color="auto"/>
        <w:bottom w:val="none" w:sz="0" w:space="0" w:color="auto"/>
        <w:right w:val="none" w:sz="0" w:space="0" w:color="auto"/>
      </w:divBdr>
    </w:div>
    <w:div w:id="179853042">
      <w:bodyDiv w:val="1"/>
      <w:marLeft w:val="0"/>
      <w:marRight w:val="0"/>
      <w:marTop w:val="0"/>
      <w:marBottom w:val="0"/>
      <w:divBdr>
        <w:top w:val="none" w:sz="0" w:space="0" w:color="auto"/>
        <w:left w:val="none" w:sz="0" w:space="0" w:color="auto"/>
        <w:bottom w:val="none" w:sz="0" w:space="0" w:color="auto"/>
        <w:right w:val="none" w:sz="0" w:space="0" w:color="auto"/>
      </w:divBdr>
    </w:div>
    <w:div w:id="194972311">
      <w:bodyDiv w:val="1"/>
      <w:marLeft w:val="0"/>
      <w:marRight w:val="0"/>
      <w:marTop w:val="0"/>
      <w:marBottom w:val="0"/>
      <w:divBdr>
        <w:top w:val="none" w:sz="0" w:space="0" w:color="auto"/>
        <w:left w:val="none" w:sz="0" w:space="0" w:color="auto"/>
        <w:bottom w:val="none" w:sz="0" w:space="0" w:color="auto"/>
        <w:right w:val="none" w:sz="0" w:space="0" w:color="auto"/>
      </w:divBdr>
    </w:div>
    <w:div w:id="334264304">
      <w:bodyDiv w:val="1"/>
      <w:marLeft w:val="0"/>
      <w:marRight w:val="0"/>
      <w:marTop w:val="0"/>
      <w:marBottom w:val="0"/>
      <w:divBdr>
        <w:top w:val="none" w:sz="0" w:space="0" w:color="auto"/>
        <w:left w:val="none" w:sz="0" w:space="0" w:color="auto"/>
        <w:bottom w:val="none" w:sz="0" w:space="0" w:color="auto"/>
        <w:right w:val="none" w:sz="0" w:space="0" w:color="auto"/>
      </w:divBdr>
    </w:div>
    <w:div w:id="337467339">
      <w:bodyDiv w:val="1"/>
      <w:marLeft w:val="0"/>
      <w:marRight w:val="0"/>
      <w:marTop w:val="0"/>
      <w:marBottom w:val="0"/>
      <w:divBdr>
        <w:top w:val="none" w:sz="0" w:space="0" w:color="auto"/>
        <w:left w:val="none" w:sz="0" w:space="0" w:color="auto"/>
        <w:bottom w:val="none" w:sz="0" w:space="0" w:color="auto"/>
        <w:right w:val="none" w:sz="0" w:space="0" w:color="auto"/>
      </w:divBdr>
    </w:div>
    <w:div w:id="369720659">
      <w:bodyDiv w:val="1"/>
      <w:marLeft w:val="0"/>
      <w:marRight w:val="0"/>
      <w:marTop w:val="0"/>
      <w:marBottom w:val="0"/>
      <w:divBdr>
        <w:top w:val="none" w:sz="0" w:space="0" w:color="auto"/>
        <w:left w:val="none" w:sz="0" w:space="0" w:color="auto"/>
        <w:bottom w:val="none" w:sz="0" w:space="0" w:color="auto"/>
        <w:right w:val="none" w:sz="0" w:space="0" w:color="auto"/>
      </w:divBdr>
    </w:div>
    <w:div w:id="374087565">
      <w:bodyDiv w:val="1"/>
      <w:marLeft w:val="0"/>
      <w:marRight w:val="0"/>
      <w:marTop w:val="0"/>
      <w:marBottom w:val="0"/>
      <w:divBdr>
        <w:top w:val="none" w:sz="0" w:space="0" w:color="auto"/>
        <w:left w:val="none" w:sz="0" w:space="0" w:color="auto"/>
        <w:bottom w:val="none" w:sz="0" w:space="0" w:color="auto"/>
        <w:right w:val="none" w:sz="0" w:space="0" w:color="auto"/>
      </w:divBdr>
    </w:div>
    <w:div w:id="378557895">
      <w:bodyDiv w:val="1"/>
      <w:marLeft w:val="0"/>
      <w:marRight w:val="0"/>
      <w:marTop w:val="0"/>
      <w:marBottom w:val="0"/>
      <w:divBdr>
        <w:top w:val="none" w:sz="0" w:space="0" w:color="auto"/>
        <w:left w:val="none" w:sz="0" w:space="0" w:color="auto"/>
        <w:bottom w:val="none" w:sz="0" w:space="0" w:color="auto"/>
        <w:right w:val="none" w:sz="0" w:space="0" w:color="auto"/>
      </w:divBdr>
    </w:div>
    <w:div w:id="582951441">
      <w:bodyDiv w:val="1"/>
      <w:marLeft w:val="0"/>
      <w:marRight w:val="0"/>
      <w:marTop w:val="0"/>
      <w:marBottom w:val="0"/>
      <w:divBdr>
        <w:top w:val="none" w:sz="0" w:space="0" w:color="auto"/>
        <w:left w:val="none" w:sz="0" w:space="0" w:color="auto"/>
        <w:bottom w:val="none" w:sz="0" w:space="0" w:color="auto"/>
        <w:right w:val="none" w:sz="0" w:space="0" w:color="auto"/>
      </w:divBdr>
    </w:div>
    <w:div w:id="652024969">
      <w:bodyDiv w:val="1"/>
      <w:marLeft w:val="0"/>
      <w:marRight w:val="0"/>
      <w:marTop w:val="0"/>
      <w:marBottom w:val="0"/>
      <w:divBdr>
        <w:top w:val="none" w:sz="0" w:space="0" w:color="auto"/>
        <w:left w:val="none" w:sz="0" w:space="0" w:color="auto"/>
        <w:bottom w:val="none" w:sz="0" w:space="0" w:color="auto"/>
        <w:right w:val="none" w:sz="0" w:space="0" w:color="auto"/>
      </w:divBdr>
    </w:div>
    <w:div w:id="726301797">
      <w:bodyDiv w:val="1"/>
      <w:marLeft w:val="0"/>
      <w:marRight w:val="0"/>
      <w:marTop w:val="0"/>
      <w:marBottom w:val="0"/>
      <w:divBdr>
        <w:top w:val="none" w:sz="0" w:space="0" w:color="auto"/>
        <w:left w:val="none" w:sz="0" w:space="0" w:color="auto"/>
        <w:bottom w:val="none" w:sz="0" w:space="0" w:color="auto"/>
        <w:right w:val="none" w:sz="0" w:space="0" w:color="auto"/>
      </w:divBdr>
    </w:div>
    <w:div w:id="729887310">
      <w:bodyDiv w:val="1"/>
      <w:marLeft w:val="0"/>
      <w:marRight w:val="0"/>
      <w:marTop w:val="0"/>
      <w:marBottom w:val="0"/>
      <w:divBdr>
        <w:top w:val="none" w:sz="0" w:space="0" w:color="auto"/>
        <w:left w:val="none" w:sz="0" w:space="0" w:color="auto"/>
        <w:bottom w:val="none" w:sz="0" w:space="0" w:color="auto"/>
        <w:right w:val="none" w:sz="0" w:space="0" w:color="auto"/>
      </w:divBdr>
    </w:div>
    <w:div w:id="768355138">
      <w:bodyDiv w:val="1"/>
      <w:marLeft w:val="0"/>
      <w:marRight w:val="0"/>
      <w:marTop w:val="0"/>
      <w:marBottom w:val="0"/>
      <w:divBdr>
        <w:top w:val="none" w:sz="0" w:space="0" w:color="auto"/>
        <w:left w:val="none" w:sz="0" w:space="0" w:color="auto"/>
        <w:bottom w:val="none" w:sz="0" w:space="0" w:color="auto"/>
        <w:right w:val="none" w:sz="0" w:space="0" w:color="auto"/>
      </w:divBdr>
    </w:div>
    <w:div w:id="839585223">
      <w:bodyDiv w:val="1"/>
      <w:marLeft w:val="0"/>
      <w:marRight w:val="0"/>
      <w:marTop w:val="0"/>
      <w:marBottom w:val="0"/>
      <w:divBdr>
        <w:top w:val="none" w:sz="0" w:space="0" w:color="auto"/>
        <w:left w:val="none" w:sz="0" w:space="0" w:color="auto"/>
        <w:bottom w:val="none" w:sz="0" w:space="0" w:color="auto"/>
        <w:right w:val="none" w:sz="0" w:space="0" w:color="auto"/>
      </w:divBdr>
    </w:div>
    <w:div w:id="901019749">
      <w:bodyDiv w:val="1"/>
      <w:marLeft w:val="0"/>
      <w:marRight w:val="0"/>
      <w:marTop w:val="0"/>
      <w:marBottom w:val="0"/>
      <w:divBdr>
        <w:top w:val="none" w:sz="0" w:space="0" w:color="auto"/>
        <w:left w:val="none" w:sz="0" w:space="0" w:color="auto"/>
        <w:bottom w:val="none" w:sz="0" w:space="0" w:color="auto"/>
        <w:right w:val="none" w:sz="0" w:space="0" w:color="auto"/>
      </w:divBdr>
    </w:div>
    <w:div w:id="919094006">
      <w:bodyDiv w:val="1"/>
      <w:marLeft w:val="0"/>
      <w:marRight w:val="0"/>
      <w:marTop w:val="0"/>
      <w:marBottom w:val="0"/>
      <w:divBdr>
        <w:top w:val="none" w:sz="0" w:space="0" w:color="auto"/>
        <w:left w:val="none" w:sz="0" w:space="0" w:color="auto"/>
        <w:bottom w:val="none" w:sz="0" w:space="0" w:color="auto"/>
        <w:right w:val="none" w:sz="0" w:space="0" w:color="auto"/>
      </w:divBdr>
    </w:div>
    <w:div w:id="936214450">
      <w:bodyDiv w:val="1"/>
      <w:marLeft w:val="0"/>
      <w:marRight w:val="0"/>
      <w:marTop w:val="0"/>
      <w:marBottom w:val="0"/>
      <w:divBdr>
        <w:top w:val="none" w:sz="0" w:space="0" w:color="auto"/>
        <w:left w:val="none" w:sz="0" w:space="0" w:color="auto"/>
        <w:bottom w:val="none" w:sz="0" w:space="0" w:color="auto"/>
        <w:right w:val="none" w:sz="0" w:space="0" w:color="auto"/>
      </w:divBdr>
    </w:div>
    <w:div w:id="1000083271">
      <w:bodyDiv w:val="1"/>
      <w:marLeft w:val="0"/>
      <w:marRight w:val="0"/>
      <w:marTop w:val="0"/>
      <w:marBottom w:val="0"/>
      <w:divBdr>
        <w:top w:val="none" w:sz="0" w:space="0" w:color="auto"/>
        <w:left w:val="none" w:sz="0" w:space="0" w:color="auto"/>
        <w:bottom w:val="none" w:sz="0" w:space="0" w:color="auto"/>
        <w:right w:val="none" w:sz="0" w:space="0" w:color="auto"/>
      </w:divBdr>
    </w:div>
    <w:div w:id="1038241120">
      <w:bodyDiv w:val="1"/>
      <w:marLeft w:val="0"/>
      <w:marRight w:val="0"/>
      <w:marTop w:val="0"/>
      <w:marBottom w:val="0"/>
      <w:divBdr>
        <w:top w:val="none" w:sz="0" w:space="0" w:color="auto"/>
        <w:left w:val="none" w:sz="0" w:space="0" w:color="auto"/>
        <w:bottom w:val="none" w:sz="0" w:space="0" w:color="auto"/>
        <w:right w:val="none" w:sz="0" w:space="0" w:color="auto"/>
      </w:divBdr>
    </w:div>
    <w:div w:id="1101874501">
      <w:bodyDiv w:val="1"/>
      <w:marLeft w:val="0"/>
      <w:marRight w:val="0"/>
      <w:marTop w:val="0"/>
      <w:marBottom w:val="0"/>
      <w:divBdr>
        <w:top w:val="none" w:sz="0" w:space="0" w:color="auto"/>
        <w:left w:val="none" w:sz="0" w:space="0" w:color="auto"/>
        <w:bottom w:val="none" w:sz="0" w:space="0" w:color="auto"/>
        <w:right w:val="none" w:sz="0" w:space="0" w:color="auto"/>
      </w:divBdr>
    </w:div>
    <w:div w:id="1111584630">
      <w:bodyDiv w:val="1"/>
      <w:marLeft w:val="0"/>
      <w:marRight w:val="0"/>
      <w:marTop w:val="0"/>
      <w:marBottom w:val="0"/>
      <w:divBdr>
        <w:top w:val="none" w:sz="0" w:space="0" w:color="auto"/>
        <w:left w:val="none" w:sz="0" w:space="0" w:color="auto"/>
        <w:bottom w:val="none" w:sz="0" w:space="0" w:color="auto"/>
        <w:right w:val="none" w:sz="0" w:space="0" w:color="auto"/>
      </w:divBdr>
    </w:div>
    <w:div w:id="1118111625">
      <w:bodyDiv w:val="1"/>
      <w:marLeft w:val="0"/>
      <w:marRight w:val="0"/>
      <w:marTop w:val="0"/>
      <w:marBottom w:val="0"/>
      <w:divBdr>
        <w:top w:val="none" w:sz="0" w:space="0" w:color="auto"/>
        <w:left w:val="none" w:sz="0" w:space="0" w:color="auto"/>
        <w:bottom w:val="none" w:sz="0" w:space="0" w:color="auto"/>
        <w:right w:val="none" w:sz="0" w:space="0" w:color="auto"/>
      </w:divBdr>
    </w:div>
    <w:div w:id="1118329305">
      <w:bodyDiv w:val="1"/>
      <w:marLeft w:val="0"/>
      <w:marRight w:val="0"/>
      <w:marTop w:val="0"/>
      <w:marBottom w:val="0"/>
      <w:divBdr>
        <w:top w:val="none" w:sz="0" w:space="0" w:color="auto"/>
        <w:left w:val="none" w:sz="0" w:space="0" w:color="auto"/>
        <w:bottom w:val="none" w:sz="0" w:space="0" w:color="auto"/>
        <w:right w:val="none" w:sz="0" w:space="0" w:color="auto"/>
      </w:divBdr>
    </w:div>
    <w:div w:id="1120535623">
      <w:bodyDiv w:val="1"/>
      <w:marLeft w:val="0"/>
      <w:marRight w:val="0"/>
      <w:marTop w:val="0"/>
      <w:marBottom w:val="0"/>
      <w:divBdr>
        <w:top w:val="none" w:sz="0" w:space="0" w:color="auto"/>
        <w:left w:val="none" w:sz="0" w:space="0" w:color="auto"/>
        <w:bottom w:val="none" w:sz="0" w:space="0" w:color="auto"/>
        <w:right w:val="none" w:sz="0" w:space="0" w:color="auto"/>
      </w:divBdr>
    </w:div>
    <w:div w:id="1157303861">
      <w:bodyDiv w:val="1"/>
      <w:marLeft w:val="0"/>
      <w:marRight w:val="0"/>
      <w:marTop w:val="0"/>
      <w:marBottom w:val="0"/>
      <w:divBdr>
        <w:top w:val="none" w:sz="0" w:space="0" w:color="auto"/>
        <w:left w:val="none" w:sz="0" w:space="0" w:color="auto"/>
        <w:bottom w:val="none" w:sz="0" w:space="0" w:color="auto"/>
        <w:right w:val="none" w:sz="0" w:space="0" w:color="auto"/>
      </w:divBdr>
    </w:div>
    <w:div w:id="1178039153">
      <w:bodyDiv w:val="1"/>
      <w:marLeft w:val="0"/>
      <w:marRight w:val="0"/>
      <w:marTop w:val="0"/>
      <w:marBottom w:val="0"/>
      <w:divBdr>
        <w:top w:val="none" w:sz="0" w:space="0" w:color="auto"/>
        <w:left w:val="none" w:sz="0" w:space="0" w:color="auto"/>
        <w:bottom w:val="none" w:sz="0" w:space="0" w:color="auto"/>
        <w:right w:val="none" w:sz="0" w:space="0" w:color="auto"/>
      </w:divBdr>
    </w:div>
    <w:div w:id="1197354423">
      <w:bodyDiv w:val="1"/>
      <w:marLeft w:val="0"/>
      <w:marRight w:val="0"/>
      <w:marTop w:val="0"/>
      <w:marBottom w:val="0"/>
      <w:divBdr>
        <w:top w:val="none" w:sz="0" w:space="0" w:color="auto"/>
        <w:left w:val="none" w:sz="0" w:space="0" w:color="auto"/>
        <w:bottom w:val="none" w:sz="0" w:space="0" w:color="auto"/>
        <w:right w:val="none" w:sz="0" w:space="0" w:color="auto"/>
      </w:divBdr>
    </w:div>
    <w:div w:id="1267275901">
      <w:bodyDiv w:val="1"/>
      <w:marLeft w:val="0"/>
      <w:marRight w:val="0"/>
      <w:marTop w:val="0"/>
      <w:marBottom w:val="0"/>
      <w:divBdr>
        <w:top w:val="none" w:sz="0" w:space="0" w:color="auto"/>
        <w:left w:val="none" w:sz="0" w:space="0" w:color="auto"/>
        <w:bottom w:val="none" w:sz="0" w:space="0" w:color="auto"/>
        <w:right w:val="none" w:sz="0" w:space="0" w:color="auto"/>
      </w:divBdr>
    </w:div>
    <w:div w:id="1294562256">
      <w:bodyDiv w:val="1"/>
      <w:marLeft w:val="0"/>
      <w:marRight w:val="0"/>
      <w:marTop w:val="0"/>
      <w:marBottom w:val="0"/>
      <w:divBdr>
        <w:top w:val="none" w:sz="0" w:space="0" w:color="auto"/>
        <w:left w:val="none" w:sz="0" w:space="0" w:color="auto"/>
        <w:bottom w:val="none" w:sz="0" w:space="0" w:color="auto"/>
        <w:right w:val="none" w:sz="0" w:space="0" w:color="auto"/>
      </w:divBdr>
    </w:div>
    <w:div w:id="1328434124">
      <w:bodyDiv w:val="1"/>
      <w:marLeft w:val="0"/>
      <w:marRight w:val="0"/>
      <w:marTop w:val="0"/>
      <w:marBottom w:val="0"/>
      <w:divBdr>
        <w:top w:val="none" w:sz="0" w:space="0" w:color="auto"/>
        <w:left w:val="none" w:sz="0" w:space="0" w:color="auto"/>
        <w:bottom w:val="none" w:sz="0" w:space="0" w:color="auto"/>
        <w:right w:val="none" w:sz="0" w:space="0" w:color="auto"/>
      </w:divBdr>
    </w:div>
    <w:div w:id="1329754129">
      <w:bodyDiv w:val="1"/>
      <w:marLeft w:val="0"/>
      <w:marRight w:val="0"/>
      <w:marTop w:val="0"/>
      <w:marBottom w:val="0"/>
      <w:divBdr>
        <w:top w:val="none" w:sz="0" w:space="0" w:color="auto"/>
        <w:left w:val="none" w:sz="0" w:space="0" w:color="auto"/>
        <w:bottom w:val="none" w:sz="0" w:space="0" w:color="auto"/>
        <w:right w:val="none" w:sz="0" w:space="0" w:color="auto"/>
      </w:divBdr>
    </w:div>
    <w:div w:id="1343825829">
      <w:bodyDiv w:val="1"/>
      <w:marLeft w:val="0"/>
      <w:marRight w:val="0"/>
      <w:marTop w:val="0"/>
      <w:marBottom w:val="0"/>
      <w:divBdr>
        <w:top w:val="none" w:sz="0" w:space="0" w:color="auto"/>
        <w:left w:val="none" w:sz="0" w:space="0" w:color="auto"/>
        <w:bottom w:val="none" w:sz="0" w:space="0" w:color="auto"/>
        <w:right w:val="none" w:sz="0" w:space="0" w:color="auto"/>
      </w:divBdr>
    </w:div>
    <w:div w:id="1435128185">
      <w:bodyDiv w:val="1"/>
      <w:marLeft w:val="0"/>
      <w:marRight w:val="0"/>
      <w:marTop w:val="0"/>
      <w:marBottom w:val="0"/>
      <w:divBdr>
        <w:top w:val="none" w:sz="0" w:space="0" w:color="auto"/>
        <w:left w:val="none" w:sz="0" w:space="0" w:color="auto"/>
        <w:bottom w:val="none" w:sz="0" w:space="0" w:color="auto"/>
        <w:right w:val="none" w:sz="0" w:space="0" w:color="auto"/>
      </w:divBdr>
    </w:div>
    <w:div w:id="1453937778">
      <w:bodyDiv w:val="1"/>
      <w:marLeft w:val="0"/>
      <w:marRight w:val="0"/>
      <w:marTop w:val="0"/>
      <w:marBottom w:val="0"/>
      <w:divBdr>
        <w:top w:val="none" w:sz="0" w:space="0" w:color="auto"/>
        <w:left w:val="none" w:sz="0" w:space="0" w:color="auto"/>
        <w:bottom w:val="none" w:sz="0" w:space="0" w:color="auto"/>
        <w:right w:val="none" w:sz="0" w:space="0" w:color="auto"/>
      </w:divBdr>
    </w:div>
    <w:div w:id="1593246695">
      <w:bodyDiv w:val="1"/>
      <w:marLeft w:val="0"/>
      <w:marRight w:val="0"/>
      <w:marTop w:val="0"/>
      <w:marBottom w:val="0"/>
      <w:divBdr>
        <w:top w:val="none" w:sz="0" w:space="0" w:color="auto"/>
        <w:left w:val="none" w:sz="0" w:space="0" w:color="auto"/>
        <w:bottom w:val="none" w:sz="0" w:space="0" w:color="auto"/>
        <w:right w:val="none" w:sz="0" w:space="0" w:color="auto"/>
      </w:divBdr>
    </w:div>
    <w:div w:id="1630473974">
      <w:bodyDiv w:val="1"/>
      <w:marLeft w:val="0"/>
      <w:marRight w:val="0"/>
      <w:marTop w:val="0"/>
      <w:marBottom w:val="0"/>
      <w:divBdr>
        <w:top w:val="none" w:sz="0" w:space="0" w:color="auto"/>
        <w:left w:val="none" w:sz="0" w:space="0" w:color="auto"/>
        <w:bottom w:val="none" w:sz="0" w:space="0" w:color="auto"/>
        <w:right w:val="none" w:sz="0" w:space="0" w:color="auto"/>
      </w:divBdr>
    </w:div>
    <w:div w:id="1635023138">
      <w:bodyDiv w:val="1"/>
      <w:marLeft w:val="0"/>
      <w:marRight w:val="0"/>
      <w:marTop w:val="0"/>
      <w:marBottom w:val="0"/>
      <w:divBdr>
        <w:top w:val="none" w:sz="0" w:space="0" w:color="auto"/>
        <w:left w:val="none" w:sz="0" w:space="0" w:color="auto"/>
        <w:bottom w:val="none" w:sz="0" w:space="0" w:color="auto"/>
        <w:right w:val="none" w:sz="0" w:space="0" w:color="auto"/>
      </w:divBdr>
    </w:div>
    <w:div w:id="1669016223">
      <w:bodyDiv w:val="1"/>
      <w:marLeft w:val="0"/>
      <w:marRight w:val="0"/>
      <w:marTop w:val="0"/>
      <w:marBottom w:val="0"/>
      <w:divBdr>
        <w:top w:val="none" w:sz="0" w:space="0" w:color="auto"/>
        <w:left w:val="none" w:sz="0" w:space="0" w:color="auto"/>
        <w:bottom w:val="none" w:sz="0" w:space="0" w:color="auto"/>
        <w:right w:val="none" w:sz="0" w:space="0" w:color="auto"/>
      </w:divBdr>
    </w:div>
    <w:div w:id="1996255902">
      <w:bodyDiv w:val="1"/>
      <w:marLeft w:val="0"/>
      <w:marRight w:val="0"/>
      <w:marTop w:val="0"/>
      <w:marBottom w:val="0"/>
      <w:divBdr>
        <w:top w:val="none" w:sz="0" w:space="0" w:color="auto"/>
        <w:left w:val="none" w:sz="0" w:space="0" w:color="auto"/>
        <w:bottom w:val="none" w:sz="0" w:space="0" w:color="auto"/>
        <w:right w:val="none" w:sz="0" w:space="0" w:color="auto"/>
      </w:divBdr>
    </w:div>
    <w:div w:id="199984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eda_t\Desktop\2023%20PLANAVIMAS\2023%20Biud&#382;etas\Rodikliai%202023%20ai&#353;k.r..xlsx" TargetMode="External"/></Relationships>
</file>

<file path=word/charts/_rels/chart2.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reda_t\Desktop\2021%20PLANAVIMAS\2021%20BIUD&#381;ETAS\Rodikliai.xlsx" TargetMode="External"/></Relationships>
</file>

<file path=word/charts/_rels/chart3.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25"/>
          <c:dLbls>
            <c:dLbl>
              <c:idx val="0"/>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dLbl>
              <c:idx val="1"/>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dLbl>
              <c:idx val="2"/>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dLbl>
              <c:idx val="3"/>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dLbl>
              <c:idx val="4"/>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dLbl>
              <c:idx val="5"/>
              <c:spPr>
                <a:noFill/>
                <a:ln>
                  <a:noFill/>
                </a:ln>
                <a:effectLst/>
              </c:spPr>
              <c:txPr>
                <a:bodyPr/>
                <a:lstStyle/>
                <a:p>
                  <a:pPr>
                    <a:defRPr sz="1200" b="1"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dLbl>
            <c:spPr>
              <a:noFill/>
              <a:ln>
                <a:noFill/>
              </a:ln>
              <a:effectLst/>
            </c:spPr>
            <c:txPr>
              <a:bodyPr/>
              <a:lstStyle/>
              <a:p>
                <a:pPr>
                  <a:defRPr sz="1000" b="0" i="0" u="none" strike="noStrike" baseline="0">
                    <a:solidFill>
                      <a:srgbClr val="000000"/>
                    </a:solidFill>
                    <a:latin typeface="Calibri"/>
                    <a:ea typeface="Calibri"/>
                    <a:cs typeface="Calibri"/>
                  </a:defRPr>
                </a:pPr>
                <a:endParaRPr lang="lt-LT"/>
              </a:p>
            </c:txPr>
            <c:showLegendKey val="0"/>
            <c:showVal val="0"/>
            <c:showCatName val="0"/>
            <c:showSerName val="0"/>
            <c:showPercent val="1"/>
            <c:showBubbleSize val="0"/>
            <c:showLeaderLines val="1"/>
            <c:extLst xmlns:c16r2="http://schemas.microsoft.com/office/drawing/2015/06/chart">
              <c:ext xmlns:c15="http://schemas.microsoft.com/office/drawing/2012/chart" uri="{CE6537A1-D6FC-4f65-9D91-7224C49458BB}"/>
            </c:extLst>
          </c:dLbls>
          <c:cat>
            <c:strRef>
              <c:f>Lapas1!$B$3:$B$8</c:f>
              <c:strCache>
                <c:ptCount val="6"/>
                <c:pt idx="0">
                  <c:v>Savarankiškų funkcijų vykdymo pajamų šaltiniai</c:v>
                </c:pt>
                <c:pt idx="1">
                  <c:v>Valstybės biudžeto dotacijos</c:v>
                </c:pt>
                <c:pt idx="2">
                  <c:v>Skolintos lėšos</c:v>
                </c:pt>
                <c:pt idx="3">
                  <c:v>Kiti pajamų šaltiniai</c:v>
                </c:pt>
                <c:pt idx="4">
                  <c:v>Nepanaudota 2022 m. pajamų dalis</c:v>
                </c:pt>
                <c:pt idx="5">
                  <c:v>ES finansinės paramos lėšos</c:v>
                </c:pt>
              </c:strCache>
            </c:strRef>
          </c:cat>
          <c:val>
            <c:numRef>
              <c:f>Lapas1!$C$3:$C$8</c:f>
              <c:numCache>
                <c:formatCode>General</c:formatCode>
                <c:ptCount val="6"/>
                <c:pt idx="0">
                  <c:v>16323</c:v>
                </c:pt>
                <c:pt idx="1">
                  <c:v>9179.6</c:v>
                </c:pt>
                <c:pt idx="2">
                  <c:v>488.2</c:v>
                </c:pt>
                <c:pt idx="3">
                  <c:v>1401.1</c:v>
                </c:pt>
                <c:pt idx="4">
                  <c:v>1517.6</c:v>
                </c:pt>
                <c:pt idx="5">
                  <c:v>180.4</c:v>
                </c:pt>
              </c:numCache>
            </c:numRef>
          </c:val>
          <c:extLst xmlns:c16r2="http://schemas.microsoft.com/office/drawing/2015/06/chart">
            <c:ext xmlns:c16="http://schemas.microsoft.com/office/drawing/2014/chart" uri="{C3380CC4-5D6E-409C-BE32-E72D297353CC}">
              <c16:uniqueId val="{00000000-9092-4D37-8BC9-10254C3AE694}"/>
            </c:ext>
          </c:extLst>
        </c:ser>
        <c:dLbls>
          <c:showLegendKey val="0"/>
          <c:showVal val="0"/>
          <c:showCatName val="0"/>
          <c:showSerName val="0"/>
          <c:showPercent val="1"/>
          <c:showBubbleSize val="0"/>
          <c:showLeaderLines val="1"/>
        </c:dLbls>
        <c:firstSliceAng val="0"/>
      </c:pieChart>
      <c:spPr>
        <a:noFill/>
        <a:ln w="25400">
          <a:noFill/>
        </a:ln>
      </c:spPr>
    </c:plotArea>
    <c:legend>
      <c:legendPos val="r"/>
      <c:legendEntry>
        <c:idx val="0"/>
        <c:txPr>
          <a:bodyPr/>
          <a:lstStyle/>
          <a:p>
            <a:pPr rtl="0">
              <a:defRPr sz="1000" b="1" i="0" u="none" strike="noStrike" baseline="0">
                <a:solidFill>
                  <a:srgbClr val="000000"/>
                </a:solidFill>
                <a:latin typeface="Calibri"/>
                <a:ea typeface="Calibri"/>
                <a:cs typeface="Calibri"/>
              </a:defRPr>
            </a:pPr>
            <a:endParaRPr lang="lt-LT"/>
          </a:p>
        </c:txPr>
      </c:legendEntry>
      <c:legendEntry>
        <c:idx val="1"/>
        <c:txPr>
          <a:bodyPr/>
          <a:lstStyle/>
          <a:p>
            <a:pPr rtl="0">
              <a:defRPr sz="1000" b="1" i="0" u="none" strike="noStrike" baseline="0">
                <a:solidFill>
                  <a:srgbClr val="000000"/>
                </a:solidFill>
                <a:latin typeface="Calibri"/>
                <a:ea typeface="Calibri"/>
                <a:cs typeface="Calibri"/>
              </a:defRPr>
            </a:pPr>
            <a:endParaRPr lang="lt-LT"/>
          </a:p>
        </c:txPr>
      </c:legendEntry>
      <c:legendEntry>
        <c:idx val="2"/>
        <c:txPr>
          <a:bodyPr/>
          <a:lstStyle/>
          <a:p>
            <a:pPr rtl="0">
              <a:defRPr sz="1000" b="1" i="0" u="none" strike="noStrike" baseline="0">
                <a:solidFill>
                  <a:srgbClr val="000000"/>
                </a:solidFill>
                <a:latin typeface="Calibri"/>
                <a:ea typeface="Calibri"/>
                <a:cs typeface="Calibri"/>
              </a:defRPr>
            </a:pPr>
            <a:endParaRPr lang="lt-LT"/>
          </a:p>
        </c:txPr>
      </c:legendEntry>
      <c:legendEntry>
        <c:idx val="3"/>
        <c:txPr>
          <a:bodyPr/>
          <a:lstStyle/>
          <a:p>
            <a:pPr rtl="0">
              <a:defRPr sz="1000" b="1" i="0" u="none" strike="noStrike" baseline="0">
                <a:solidFill>
                  <a:srgbClr val="000000"/>
                </a:solidFill>
                <a:latin typeface="Calibri"/>
                <a:ea typeface="Calibri"/>
                <a:cs typeface="Calibri"/>
              </a:defRPr>
            </a:pPr>
            <a:endParaRPr lang="lt-LT"/>
          </a:p>
        </c:txPr>
      </c:legendEntry>
      <c:legendEntry>
        <c:idx val="4"/>
        <c:txPr>
          <a:bodyPr/>
          <a:lstStyle/>
          <a:p>
            <a:pPr rtl="0">
              <a:defRPr sz="1000" b="1" i="0" u="none" strike="noStrike" baseline="0">
                <a:solidFill>
                  <a:srgbClr val="000000"/>
                </a:solidFill>
                <a:latin typeface="Calibri"/>
                <a:ea typeface="Calibri"/>
                <a:cs typeface="Calibri"/>
              </a:defRPr>
            </a:pPr>
            <a:endParaRPr lang="lt-LT"/>
          </a:p>
        </c:txPr>
      </c:legendEntry>
      <c:legendEntry>
        <c:idx val="5"/>
        <c:txPr>
          <a:bodyPr/>
          <a:lstStyle/>
          <a:p>
            <a:pPr rtl="0">
              <a:defRPr sz="1000" b="1" i="0" u="none" strike="noStrike" baseline="0">
                <a:solidFill>
                  <a:srgbClr val="000000"/>
                </a:solidFill>
                <a:latin typeface="Calibri"/>
                <a:ea typeface="Calibri"/>
                <a:cs typeface="Calibri"/>
              </a:defRPr>
            </a:pPr>
            <a:endParaRPr lang="lt-LT"/>
          </a:p>
        </c:txPr>
      </c:legendEntry>
      <c:layout/>
      <c:overlay val="0"/>
      <c:txPr>
        <a:bodyPr/>
        <a:lstStyle/>
        <a:p>
          <a:pPr rtl="0">
            <a:defRPr sz="1000" b="0" i="0" u="none" strike="noStrike" baseline="0">
              <a:solidFill>
                <a:srgbClr val="000000"/>
              </a:solidFill>
              <a:latin typeface="Calibri"/>
              <a:ea typeface="Calibri"/>
              <a:cs typeface="Calibri"/>
            </a:defRPr>
          </a:pPr>
          <a:endParaRPr lang="lt-LT"/>
        </a:p>
      </c:txPr>
    </c:legend>
    <c:plotVisOnly val="1"/>
    <c:dispBlanksAs val="zero"/>
    <c:showDLblsOverMax val="0"/>
  </c:chart>
  <c:spPr>
    <a:solidFill>
      <a:schemeClr val="accent5">
        <a:lumMod val="20000"/>
        <a:lumOff val="80000"/>
      </a:schemeClr>
    </a:solidFill>
  </c:spPr>
  <c:txPr>
    <a:bodyPr/>
    <a:lstStyle/>
    <a:p>
      <a:pPr>
        <a:defRPr sz="1000" b="0" i="0" u="none" strike="noStrike" baseline="0">
          <a:solidFill>
            <a:srgbClr val="000000"/>
          </a:solidFill>
          <a:latin typeface="Calibri"/>
          <a:ea typeface="Calibri"/>
          <a:cs typeface="Calibri"/>
        </a:defRPr>
      </a:pPr>
      <a:endParaRPr lang="lt-LT"/>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bg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Lapas1!$B$75:$B$79</c:f>
              <c:strCache>
                <c:ptCount val="5"/>
                <c:pt idx="0">
                  <c:v>1  Žinių visuomenės, kultūrinio ir sportinio aktyvumo skatinimo programa</c:v>
                </c:pt>
                <c:pt idx="1">
                  <c:v>2  Ekonominio konkurencingumo ir investicijų plėtros programa</c:v>
                </c:pt>
                <c:pt idx="2">
                  <c:v>3 Viešosios infrastruktūros plėtros programa </c:v>
                </c:pt>
                <c:pt idx="3">
                  <c:v>4 Socialinės ir sveikatos apsaugos programa</c:v>
                </c:pt>
                <c:pt idx="4">
                  <c:v>5. Savivaldybės valdymo ir pagrindinių funkcijų vykdymo programa</c:v>
                </c:pt>
              </c:strCache>
            </c:strRef>
          </c:cat>
          <c:val>
            <c:numRef>
              <c:f>Lapas1!$C$75:$C$79</c:f>
              <c:numCache>
                <c:formatCode>0</c:formatCode>
                <c:ptCount val="5"/>
                <c:pt idx="0">
                  <c:v>12610</c:v>
                </c:pt>
                <c:pt idx="1">
                  <c:v>2175</c:v>
                </c:pt>
                <c:pt idx="2">
                  <c:v>2529</c:v>
                </c:pt>
                <c:pt idx="3">
                  <c:v>6558</c:v>
                </c:pt>
                <c:pt idx="4">
                  <c:v>5218</c:v>
                </c:pt>
              </c:numCache>
            </c:numRef>
          </c:val>
          <c:extLst xmlns:c16r2="http://schemas.microsoft.com/office/drawing/2015/06/chart">
            <c:ext xmlns:c16="http://schemas.microsoft.com/office/drawing/2014/chart" uri="{C3380CC4-5D6E-409C-BE32-E72D297353CC}">
              <c16:uniqueId val="{00000000-0A04-4D6B-8E78-04462DE892CB}"/>
            </c:ext>
          </c:extLst>
        </c:ser>
        <c:dLbls>
          <c:dLblPos val="inEnd"/>
          <c:showLegendKey val="0"/>
          <c:showVal val="1"/>
          <c:showCatName val="0"/>
          <c:showSerName val="0"/>
          <c:showPercent val="0"/>
          <c:showBubbleSize val="0"/>
        </c:dLbls>
        <c:gapWidth val="65"/>
        <c:axId val="180672384"/>
        <c:axId val="181175040"/>
      </c:barChart>
      <c:catAx>
        <c:axId val="180672384"/>
        <c:scaling>
          <c:orientation val="minMax"/>
        </c:scaling>
        <c:delete val="0"/>
        <c:axPos val="l"/>
        <c:numFmt formatCode="General" sourceLinked="0"/>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181175040"/>
        <c:crosses val="autoZero"/>
        <c:auto val="1"/>
        <c:lblAlgn val="ctr"/>
        <c:lblOffset val="100"/>
        <c:noMultiLvlLbl val="0"/>
      </c:catAx>
      <c:valAx>
        <c:axId val="1811750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18067238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7802343652582243"/>
          <c:y val="1.1224133123521584E-2"/>
          <c:w val="0.61734156926792028"/>
          <c:h val="0.93826728146032057"/>
        </c:manualLayout>
      </c:layout>
      <c:barChart>
        <c:barDir val="bar"/>
        <c:grouping val="clustered"/>
        <c:varyColors val="0"/>
        <c:ser>
          <c:idx val="0"/>
          <c:order val="0"/>
          <c:tx>
            <c:strRef>
              <c:f>Lapas1!$B$1</c:f>
              <c:strCache>
                <c:ptCount val="1"/>
                <c:pt idx="0">
                  <c:v>Stulpelis1</c:v>
                </c:pt>
              </c:strCache>
            </c:strRef>
          </c:tx>
          <c:spPr>
            <a:solidFill>
              <a:schemeClr val="accent3">
                <a:alpha val="8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1"/>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2"/>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3"/>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4"/>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5"/>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6"/>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7"/>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8"/>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dLbl>
              <c:idx val="9"/>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rgbClr val="FF0000"/>
                      </a:solidFill>
                      <a:latin typeface="+mn-lt"/>
                      <a:ea typeface="+mn-ea"/>
                      <a:cs typeface="+mn-cs"/>
                    </a:defRPr>
                  </a:pPr>
                  <a:endParaRPr lang="lt-LT"/>
                </a:p>
              </c:txPr>
              <c:dLblPos val="in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lt-LT"/>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Lapas1!$A$2:$A$12</c:f>
              <c:strCache>
                <c:ptCount val="10"/>
                <c:pt idx="0">
                  <c:v>Bendros valstybės paslaugos</c:v>
                </c:pt>
                <c:pt idx="1">
                  <c:v>Gynyba</c:v>
                </c:pt>
                <c:pt idx="2">
                  <c:v>Viešoji tvarka</c:v>
                </c:pt>
                <c:pt idx="3">
                  <c:v>Ekonomika</c:v>
                </c:pt>
                <c:pt idx="4">
                  <c:v>Aplinkos apsauga</c:v>
                </c:pt>
                <c:pt idx="5">
                  <c:v>Būstas ir komunalinis ūkis</c:v>
                </c:pt>
                <c:pt idx="6">
                  <c:v>Sveikatos apsauga</c:v>
                </c:pt>
                <c:pt idx="7">
                  <c:v>Poilsis ir kultūra</c:v>
                </c:pt>
                <c:pt idx="8">
                  <c:v>Švietimas</c:v>
                </c:pt>
                <c:pt idx="9">
                  <c:v>Socialinė apsauga</c:v>
                </c:pt>
              </c:strCache>
            </c:strRef>
          </c:cat>
          <c:val>
            <c:numRef>
              <c:f>Lapas1!$B$2:$B$12</c:f>
              <c:numCache>
                <c:formatCode>General</c:formatCode>
                <c:ptCount val="11"/>
                <c:pt idx="0">
                  <c:v>14</c:v>
                </c:pt>
                <c:pt idx="1">
                  <c:v>0.1</c:v>
                </c:pt>
                <c:pt idx="2">
                  <c:v>3.1</c:v>
                </c:pt>
                <c:pt idx="3">
                  <c:v>3.6</c:v>
                </c:pt>
                <c:pt idx="4">
                  <c:v>5.2</c:v>
                </c:pt>
                <c:pt idx="5">
                  <c:v>2.8</c:v>
                </c:pt>
                <c:pt idx="6">
                  <c:v>0.8</c:v>
                </c:pt>
                <c:pt idx="7">
                  <c:v>11.2</c:v>
                </c:pt>
                <c:pt idx="8">
                  <c:v>38.4</c:v>
                </c:pt>
                <c:pt idx="9">
                  <c:v>20.8</c:v>
                </c:pt>
              </c:numCache>
            </c:numRef>
          </c:val>
          <c:extLst xmlns:c16r2="http://schemas.microsoft.com/office/drawing/2015/06/chart">
            <c:ext xmlns:c16="http://schemas.microsoft.com/office/drawing/2014/chart" uri="{C3380CC4-5D6E-409C-BE32-E72D297353CC}">
              <c16:uniqueId val="{00000000-6A4A-4232-B696-C71D987E9BA2}"/>
            </c:ext>
          </c:extLst>
        </c:ser>
        <c:dLbls>
          <c:dLblPos val="inEnd"/>
          <c:showLegendKey val="0"/>
          <c:showVal val="1"/>
          <c:showCatName val="0"/>
          <c:showSerName val="0"/>
          <c:showPercent val="0"/>
          <c:showBubbleSize val="0"/>
        </c:dLbls>
        <c:gapWidth val="65"/>
        <c:axId val="233829504"/>
        <c:axId val="233831040"/>
      </c:barChart>
      <c:catAx>
        <c:axId val="233829504"/>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t-LT"/>
          </a:p>
        </c:txPr>
        <c:crossAx val="233831040"/>
        <c:crosses val="autoZero"/>
        <c:auto val="1"/>
        <c:lblAlgn val="ctr"/>
        <c:lblOffset val="100"/>
        <c:noMultiLvlLbl val="0"/>
      </c:catAx>
      <c:valAx>
        <c:axId val="233831040"/>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t-LT"/>
          </a:p>
        </c:txPr>
        <c:crossAx val="233829504"/>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t-LT"/>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C6F3E-BC8E-49A8-AB93-CF59E270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17992</Words>
  <Characters>10256</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raminta_m</dc:creator>
  <cp:lastModifiedBy>Windows User</cp:lastModifiedBy>
  <cp:revision>3</cp:revision>
  <cp:lastPrinted>2023-01-25T11:43:00Z</cp:lastPrinted>
  <dcterms:created xsi:type="dcterms:W3CDTF">2023-01-25T11:39:00Z</dcterms:created>
  <dcterms:modified xsi:type="dcterms:W3CDTF">2023-01-25T11:43:00Z</dcterms:modified>
</cp:coreProperties>
</file>